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30A" w:rsidRDefault="00CA12B0">
      <w:pPr>
        <w:widowControl w:val="0"/>
        <w:tabs>
          <w:tab w:val="left" w:pos="1375"/>
        </w:tabs>
        <w:autoSpaceDE w:val="0"/>
        <w:autoSpaceDN w:val="0"/>
        <w:spacing w:line="240" w:lineRule="auto"/>
        <w:outlineLvl w:val="0"/>
        <w:rPr>
          <w:rFonts w:ascii="Arial" w:hAnsi="Arial" w:cs="Arial"/>
          <w:b/>
          <w:bCs/>
          <w:sz w:val="22"/>
        </w:rPr>
      </w:pPr>
      <w:r>
        <w:rPr>
          <w:rFonts w:ascii="Arial" w:hAnsi="Arial" w:cs="Arial"/>
          <w:b/>
          <w:bCs/>
          <w:sz w:val="22"/>
          <w:lang w:val="en-GB"/>
        </w:rPr>
        <w:t>3GPP TSG RAN WG1 Meeting #96bis                                   R1-190</w:t>
      </w:r>
      <w:r>
        <w:rPr>
          <w:rFonts w:ascii="Arial" w:hAnsi="Arial" w:cs="Arial" w:hint="eastAsia"/>
          <w:b/>
          <w:bCs/>
          <w:sz w:val="22"/>
        </w:rPr>
        <w:t>3880</w:t>
      </w:r>
    </w:p>
    <w:p w:rsidR="0050330A" w:rsidRDefault="00CA12B0">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Xi</w:t>
      </w:r>
      <w:proofErr w:type="gramStart"/>
      <w:r>
        <w:rPr>
          <w:rFonts w:ascii="Arial" w:hAnsi="Arial" w:cs="Arial"/>
          <w:b/>
          <w:bCs/>
          <w:sz w:val="22"/>
          <w:lang w:val="en-GB"/>
        </w:rPr>
        <w:t>’</w:t>
      </w:r>
      <w:proofErr w:type="gramEnd"/>
      <w:r>
        <w:rPr>
          <w:rFonts w:ascii="Arial" w:hAnsi="Arial" w:cs="Arial"/>
          <w:b/>
          <w:bCs/>
          <w:sz w:val="22"/>
          <w:lang w:val="en-GB"/>
        </w:rPr>
        <w:t>an, China</w:t>
      </w:r>
      <w:r>
        <w:rPr>
          <w:rFonts w:ascii="Arial" w:hAnsi="Arial" w:cs="Arial"/>
          <w:b/>
          <w:bCs/>
          <w:sz w:val="22"/>
          <w:lang w:val="en-GB"/>
        </w:rPr>
        <w:t>，</w:t>
      </w:r>
      <w:r>
        <w:rPr>
          <w:rFonts w:ascii="Arial" w:hAnsi="Arial" w:cs="Arial"/>
          <w:b/>
          <w:bCs/>
          <w:sz w:val="22"/>
          <w:lang w:val="en-GB"/>
        </w:rPr>
        <w:t>April 8</w:t>
      </w:r>
      <w:r>
        <w:rPr>
          <w:rFonts w:ascii="Arial" w:hAnsi="Arial" w:cs="Arial"/>
          <w:b/>
          <w:bCs/>
          <w:sz w:val="22"/>
          <w:vertAlign w:val="superscript"/>
          <w:lang w:val="en-GB"/>
        </w:rPr>
        <w:t>th</w:t>
      </w:r>
      <w:r>
        <w:rPr>
          <w:rFonts w:ascii="Arial" w:hAnsi="Arial" w:cs="Arial"/>
          <w:b/>
          <w:bCs/>
          <w:sz w:val="22"/>
          <w:lang w:val="en-GB"/>
        </w:rPr>
        <w:t xml:space="preserve"> – April 12</w:t>
      </w:r>
      <w:r>
        <w:rPr>
          <w:rFonts w:ascii="Arial" w:hAnsi="Arial" w:cs="Arial"/>
          <w:b/>
          <w:bCs/>
          <w:sz w:val="22"/>
          <w:vertAlign w:val="superscript"/>
          <w:lang w:val="en-GB"/>
        </w:rPr>
        <w:t>th</w:t>
      </w:r>
      <w:r>
        <w:rPr>
          <w:rFonts w:ascii="Arial" w:hAnsi="Arial" w:cs="Arial"/>
          <w:b/>
          <w:bCs/>
          <w:sz w:val="22"/>
          <w:lang w:val="en-GB"/>
        </w:rPr>
        <w:t>, 2019</w:t>
      </w:r>
    </w:p>
    <w:p w:rsidR="0050330A" w:rsidRDefault="0050330A">
      <w:pPr>
        <w:widowControl w:val="0"/>
        <w:tabs>
          <w:tab w:val="left" w:pos="1701"/>
        </w:tabs>
        <w:autoSpaceDE w:val="0"/>
        <w:autoSpaceDN w:val="0"/>
        <w:spacing w:line="240" w:lineRule="auto"/>
        <w:rPr>
          <w:rFonts w:ascii="Arial" w:hAnsi="Arial" w:cs="Arial"/>
          <w:b/>
          <w:bCs/>
          <w:sz w:val="22"/>
          <w:lang w:val="en-GB"/>
        </w:rPr>
      </w:pPr>
    </w:p>
    <w:p w:rsidR="0050330A" w:rsidRDefault="00CA12B0">
      <w:pPr>
        <w:widowControl w:val="0"/>
        <w:tabs>
          <w:tab w:val="left" w:pos="1701"/>
        </w:tabs>
        <w:autoSpaceDE w:val="0"/>
        <w:autoSpaceDN w:val="0"/>
        <w:spacing w:line="240" w:lineRule="auto"/>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 xml:space="preserve">ZTE, </w:t>
      </w:r>
      <w:proofErr w:type="spellStart"/>
      <w:r>
        <w:rPr>
          <w:rFonts w:ascii="Arial" w:hAnsi="Arial" w:cs="Arial"/>
          <w:b/>
          <w:bCs/>
          <w:sz w:val="22"/>
          <w:lang w:val="en-GB"/>
        </w:rPr>
        <w:t>Sanechips</w:t>
      </w:r>
      <w:proofErr w:type="spellEnd"/>
    </w:p>
    <w:p w:rsidR="0050330A" w:rsidRDefault="00CA12B0">
      <w:pPr>
        <w:widowControl w:val="0"/>
        <w:tabs>
          <w:tab w:val="left" w:pos="1701"/>
        </w:tabs>
        <w:autoSpaceDE w:val="0"/>
        <w:autoSpaceDN w:val="0"/>
        <w:spacing w:line="240" w:lineRule="auto"/>
        <w:rPr>
          <w:rFonts w:ascii="Arial" w:hAnsi="Arial" w:cs="Arial"/>
          <w:b/>
          <w:bCs/>
          <w:sz w:val="22"/>
        </w:rPr>
      </w:pPr>
      <w:r>
        <w:rPr>
          <w:rFonts w:ascii="Arial" w:hAnsi="Arial" w:cs="Arial"/>
          <w:b/>
          <w:bCs/>
          <w:sz w:val="22"/>
          <w:lang w:val="en-GB"/>
        </w:rPr>
        <w:t xml:space="preserve">Title:         </w:t>
      </w:r>
      <w:r>
        <w:rPr>
          <w:rFonts w:ascii="Arial" w:hAnsi="Arial" w:cs="Arial"/>
          <w:b/>
          <w:bCs/>
          <w:sz w:val="22"/>
          <w:lang w:val="en-GB"/>
        </w:rPr>
        <w:tab/>
      </w:r>
      <w:r>
        <w:rPr>
          <w:rFonts w:ascii="Arial" w:hAnsi="Arial" w:cs="Arial" w:hint="eastAsia"/>
          <w:b/>
          <w:bCs/>
          <w:sz w:val="22"/>
        </w:rPr>
        <w:t xml:space="preserve">Analysis on the Collision Probability of </w:t>
      </w:r>
      <w:proofErr w:type="spellStart"/>
      <w:r>
        <w:rPr>
          <w:rFonts w:ascii="Arial" w:hAnsi="Arial" w:cs="Arial" w:hint="eastAsia"/>
          <w:b/>
          <w:bCs/>
          <w:sz w:val="22"/>
        </w:rPr>
        <w:t>msgA</w:t>
      </w:r>
      <w:proofErr w:type="spellEnd"/>
    </w:p>
    <w:p w:rsidR="0050330A" w:rsidRDefault="00CA12B0">
      <w:pPr>
        <w:widowControl w:val="0"/>
        <w:tabs>
          <w:tab w:val="left" w:pos="1701"/>
        </w:tabs>
        <w:autoSpaceDE w:val="0"/>
        <w:autoSpaceDN w:val="0"/>
        <w:spacing w:line="240" w:lineRule="auto"/>
        <w:rPr>
          <w:rFonts w:ascii="Arial" w:hAnsi="Arial" w:cs="Arial"/>
          <w:b/>
          <w:bCs/>
          <w:sz w:val="22"/>
        </w:rPr>
      </w:pPr>
      <w:r>
        <w:rPr>
          <w:rFonts w:ascii="Arial" w:hAnsi="Arial" w:cs="Arial"/>
          <w:b/>
          <w:bCs/>
          <w:sz w:val="22"/>
          <w:lang w:val="en-GB"/>
        </w:rPr>
        <w:t>Agenda Item:</w:t>
      </w:r>
      <w:bookmarkStart w:id="0" w:name="Source"/>
      <w:bookmarkEnd w:id="0"/>
      <w:r>
        <w:rPr>
          <w:rFonts w:ascii="Arial" w:hAnsi="Arial" w:cs="Arial"/>
          <w:b/>
          <w:bCs/>
          <w:sz w:val="22"/>
          <w:lang w:val="en-GB"/>
        </w:rPr>
        <w:t xml:space="preserve">  </w:t>
      </w:r>
      <w:r>
        <w:rPr>
          <w:rFonts w:ascii="Arial" w:hAnsi="Arial" w:cs="Arial"/>
          <w:b/>
          <w:bCs/>
          <w:sz w:val="22"/>
          <w:lang w:val="en-GB"/>
        </w:rPr>
        <w:tab/>
        <w:t>7.2.1.</w:t>
      </w:r>
      <w:r>
        <w:rPr>
          <w:rFonts w:ascii="Arial" w:hAnsi="Arial" w:cs="Arial" w:hint="eastAsia"/>
          <w:b/>
          <w:bCs/>
          <w:sz w:val="22"/>
        </w:rPr>
        <w:t>3</w:t>
      </w:r>
    </w:p>
    <w:p w:rsidR="0050330A" w:rsidRDefault="00CA12B0">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w:t>
      </w:r>
      <w:r>
        <w:rPr>
          <w:rFonts w:ascii="Arial" w:hAnsi="Arial" w:cs="Arial" w:hint="eastAsia"/>
          <w:b/>
          <w:sz w:val="22"/>
        </w:rPr>
        <w:t xml:space="preserve"> </w:t>
      </w:r>
      <w:r>
        <w:rPr>
          <w:rFonts w:ascii="Arial" w:hAnsi="Arial" w:cs="Arial"/>
          <w:b/>
          <w:sz w:val="22"/>
        </w:rPr>
        <w:t>Discussion</w:t>
      </w:r>
      <w:r>
        <w:rPr>
          <w:rFonts w:ascii="Arial" w:hAnsi="Arial" w:cs="Arial" w:hint="eastAsia"/>
          <w:b/>
          <w:sz w:val="22"/>
        </w:rPr>
        <w:t>/Decision</w:t>
      </w:r>
      <w:bookmarkStart w:id="2" w:name="_GoBack"/>
      <w:bookmarkEnd w:id="2"/>
    </w:p>
    <w:p w:rsidR="0050330A" w:rsidRDefault="00CA12B0">
      <w:pPr>
        <w:pStyle w:val="Heading2"/>
        <w:numPr>
          <w:ilvl w:val="0"/>
          <w:numId w:val="28"/>
        </w:numPr>
        <w:spacing w:before="60" w:after="60"/>
        <w:ind w:hanging="644"/>
      </w:pPr>
      <w:bookmarkStart w:id="3" w:name="OLE_LINK57"/>
      <w:bookmarkStart w:id="4" w:name="OLE_LINK58"/>
      <w:r>
        <w:t>Introduction</w:t>
      </w:r>
      <w:bookmarkEnd w:id="3"/>
      <w:bookmarkEnd w:id="4"/>
    </w:p>
    <w:p w:rsidR="0050330A" w:rsidRDefault="00CA12B0">
      <w:pPr>
        <w:rPr>
          <w:sz w:val="22"/>
          <w:szCs w:val="28"/>
        </w:rPr>
      </w:pPr>
      <w:bookmarkStart w:id="5" w:name="OLE_LINK98"/>
      <w:bookmarkStart w:id="6" w:name="OLE_LINK99"/>
      <w:r>
        <w:rPr>
          <w:sz w:val="22"/>
          <w:szCs w:val="28"/>
        </w:rPr>
        <w:t xml:space="preserve">In RAN1#96 meeting, some agreements of 2-step RACH </w:t>
      </w:r>
      <w:r>
        <w:rPr>
          <w:rFonts w:hint="eastAsia"/>
          <w:sz w:val="22"/>
          <w:szCs w:val="28"/>
        </w:rPr>
        <w:t xml:space="preserve">channel structure and procedure </w:t>
      </w:r>
      <w:r>
        <w:rPr>
          <w:sz w:val="22"/>
          <w:szCs w:val="28"/>
        </w:rPr>
        <w:t>have been achieved:</w:t>
      </w:r>
    </w:p>
    <w:tbl>
      <w:tblPr>
        <w:tblStyle w:val="TableGrid"/>
        <w:tblW w:w="9016" w:type="dxa"/>
        <w:tblLayout w:type="fixed"/>
        <w:tblLook w:val="04A0" w:firstRow="1" w:lastRow="0" w:firstColumn="1" w:lastColumn="0" w:noHBand="0" w:noVBand="1"/>
      </w:tblPr>
      <w:tblGrid>
        <w:gridCol w:w="9016"/>
      </w:tblGrid>
      <w:tr w:rsidR="0050330A">
        <w:tc>
          <w:tcPr>
            <w:tcW w:w="9016" w:type="dxa"/>
          </w:tcPr>
          <w:p w:rsidR="0050330A" w:rsidRDefault="00CA12B0">
            <w:pPr>
              <w:rPr>
                <w:b/>
                <w:szCs w:val="20"/>
              </w:rPr>
            </w:pPr>
            <w:r>
              <w:rPr>
                <w:szCs w:val="20"/>
                <w:highlight w:val="green"/>
              </w:rPr>
              <w:t>Agreements</w:t>
            </w:r>
            <w:r>
              <w:rPr>
                <w:b/>
                <w:szCs w:val="20"/>
              </w:rPr>
              <w:t>:</w:t>
            </w:r>
          </w:p>
          <w:p w:rsidR="0050330A" w:rsidRDefault="00CA12B0">
            <w:pPr>
              <w:pStyle w:val="ListParagraph"/>
              <w:numPr>
                <w:ilvl w:val="0"/>
                <w:numId w:val="29"/>
              </w:numPr>
              <w:snapToGrid w:val="0"/>
              <w:ind w:firstLine="400"/>
              <w:jc w:val="both"/>
            </w:pPr>
            <w:r>
              <w:t>PUSCH occasion for 2-step RACH is defined as</w:t>
            </w:r>
          </w:p>
          <w:p w:rsidR="0050330A" w:rsidRDefault="00CA12B0">
            <w:pPr>
              <w:pStyle w:val="ListParagraph"/>
              <w:numPr>
                <w:ilvl w:val="1"/>
                <w:numId w:val="30"/>
              </w:numPr>
              <w:snapToGrid w:val="0"/>
              <w:ind w:firstLine="400"/>
              <w:jc w:val="both"/>
              <w:rPr>
                <w:strike/>
                <w:color w:val="FF0000"/>
              </w:rPr>
            </w:pPr>
            <w:r>
              <w:t xml:space="preserve">the time-frequency </w:t>
            </w:r>
            <w:r>
              <w:rPr>
                <w:rFonts w:hint="eastAsia"/>
              </w:rPr>
              <w:t>res</w:t>
            </w:r>
            <w:r>
              <w:t>ource for payload transmission</w:t>
            </w:r>
          </w:p>
          <w:p w:rsidR="0050330A" w:rsidRDefault="00CA12B0">
            <w:pPr>
              <w:pStyle w:val="ListParagraph"/>
              <w:numPr>
                <w:ilvl w:val="0"/>
                <w:numId w:val="29"/>
              </w:numPr>
              <w:snapToGrid w:val="0"/>
              <w:ind w:firstLine="400"/>
              <w:jc w:val="both"/>
            </w:pPr>
            <w:r>
              <w:t>Consider</w:t>
            </w:r>
            <w:r>
              <w:rPr>
                <w:rFonts w:hint="eastAsia"/>
              </w:rPr>
              <w:t xml:space="preserve"> the following </w:t>
            </w:r>
            <w:r>
              <w:t xml:space="preserve">methods for PUSCH occasion of </w:t>
            </w:r>
            <w:proofErr w:type="spellStart"/>
            <w:r>
              <w:t>msgA</w:t>
            </w:r>
            <w:proofErr w:type="spellEnd"/>
            <w:r>
              <w:t xml:space="preserve"> transmission:</w:t>
            </w:r>
          </w:p>
          <w:p w:rsidR="0050330A" w:rsidRDefault="00CA12B0">
            <w:pPr>
              <w:pStyle w:val="ListParagraph"/>
              <w:numPr>
                <w:ilvl w:val="1"/>
                <w:numId w:val="29"/>
              </w:numPr>
              <w:snapToGrid w:val="0"/>
              <w:ind w:firstLine="400"/>
              <w:jc w:val="both"/>
            </w:pPr>
            <w:r>
              <w:rPr>
                <w:rFonts w:hint="eastAsia"/>
              </w:rPr>
              <w:t>Opt</w:t>
            </w:r>
            <w:r>
              <w:t xml:space="preserve"> 1: PUSCH occasions are separately configured from PRACH occasions</w:t>
            </w:r>
          </w:p>
          <w:p w:rsidR="0050330A" w:rsidRDefault="00CA12B0">
            <w:pPr>
              <w:pStyle w:val="ListParagraph"/>
              <w:numPr>
                <w:ilvl w:val="2"/>
                <w:numId w:val="29"/>
              </w:numPr>
              <w:snapToGrid w:val="0"/>
              <w:ind w:firstLine="400"/>
              <w:jc w:val="both"/>
            </w:pPr>
            <w:r>
              <w:t>For one PUSCH occasion, it is derived based on:</w:t>
            </w:r>
          </w:p>
          <w:p w:rsidR="0050330A" w:rsidRDefault="00CA12B0">
            <w:pPr>
              <w:pStyle w:val="ListParagraph"/>
              <w:numPr>
                <w:ilvl w:val="3"/>
                <w:numId w:val="29"/>
              </w:numPr>
              <w:snapToGrid w:val="0"/>
              <w:ind w:firstLine="400"/>
              <w:jc w:val="both"/>
            </w:pPr>
            <w:r>
              <w:t>Alt 1: r</w:t>
            </w:r>
            <w:r>
              <w:rPr>
                <w:rFonts w:hint="eastAsia"/>
              </w:rPr>
              <w:t xml:space="preserve">euse </w:t>
            </w:r>
            <w:r>
              <w:t xml:space="preserve">the resource allocation for NR </w:t>
            </w:r>
            <w:r>
              <w:rPr>
                <w:rFonts w:hint="eastAsia"/>
              </w:rPr>
              <w:t>configured grant</w:t>
            </w:r>
            <w:r>
              <w:t xml:space="preserve"> in principle</w:t>
            </w:r>
          </w:p>
          <w:p w:rsidR="0050330A" w:rsidRDefault="00CA12B0">
            <w:pPr>
              <w:pStyle w:val="ListParagraph"/>
              <w:numPr>
                <w:ilvl w:val="3"/>
                <w:numId w:val="29"/>
              </w:numPr>
              <w:snapToGrid w:val="0"/>
              <w:ind w:firstLine="400"/>
              <w:jc w:val="both"/>
            </w:pPr>
            <w:r>
              <w:t>Alt 2: other potential configurations (e.g., reuse semi-static SFI + BWP</w:t>
            </w:r>
            <w:proofErr w:type="gramStart"/>
            <w:r>
              <w:t>,  reuse</w:t>
            </w:r>
            <w:proofErr w:type="gramEnd"/>
            <w:r>
              <w:t xml:space="preserve"> PRACH RO, etc.)</w:t>
            </w:r>
          </w:p>
          <w:p w:rsidR="0050330A" w:rsidRDefault="00CA12B0">
            <w:pPr>
              <w:pStyle w:val="ListParagraph"/>
              <w:numPr>
                <w:ilvl w:val="2"/>
                <w:numId w:val="29"/>
              </w:numPr>
              <w:snapToGrid w:val="0"/>
              <w:ind w:firstLine="400"/>
              <w:jc w:val="both"/>
            </w:pPr>
            <w:r>
              <w:t xml:space="preserve">FFS detailed association rule between the PRACH and PUSCH for </w:t>
            </w:r>
            <w:proofErr w:type="spellStart"/>
            <w:r>
              <w:t>msgA</w:t>
            </w:r>
            <w:proofErr w:type="spellEnd"/>
            <w:r>
              <w:t xml:space="preserve"> transmission</w:t>
            </w:r>
          </w:p>
          <w:p w:rsidR="0050330A" w:rsidRDefault="00CA12B0">
            <w:pPr>
              <w:pStyle w:val="ListParagraph"/>
              <w:numPr>
                <w:ilvl w:val="1"/>
                <w:numId w:val="29"/>
              </w:numPr>
              <w:snapToGrid w:val="0"/>
              <w:ind w:firstLine="400"/>
              <w:jc w:val="both"/>
            </w:pPr>
            <w:r>
              <w:rPr>
                <w:rFonts w:hint="eastAsia"/>
              </w:rPr>
              <w:t>Opt</w:t>
            </w:r>
            <w:r>
              <w:t xml:space="preserve"> 2: Specify/configure the relative location (in time and/or frequency) of th</w:t>
            </w:r>
            <w:r>
              <w:t>e PUSCH occasion with respect to the associated PRACH occasion</w:t>
            </w:r>
          </w:p>
          <w:p w:rsidR="0050330A" w:rsidRDefault="00CA12B0">
            <w:pPr>
              <w:pStyle w:val="ListParagraph"/>
              <w:numPr>
                <w:ilvl w:val="2"/>
                <w:numId w:val="29"/>
              </w:numPr>
              <w:snapToGrid w:val="0"/>
              <w:ind w:firstLine="400"/>
              <w:jc w:val="both"/>
            </w:pPr>
            <w:r>
              <w:t>Alt 1: Time/frequency relation between PRACH preambles in PRACH occasion(s) and PUSCH occasions are single specification fixed value.</w:t>
            </w:r>
          </w:p>
          <w:p w:rsidR="0050330A" w:rsidRDefault="00CA12B0">
            <w:pPr>
              <w:pStyle w:val="ListParagraph"/>
              <w:numPr>
                <w:ilvl w:val="2"/>
                <w:numId w:val="29"/>
              </w:numPr>
              <w:snapToGrid w:val="0"/>
              <w:ind w:firstLine="400"/>
              <w:jc w:val="both"/>
            </w:pPr>
            <w:r>
              <w:t xml:space="preserve">Alt 2: Time/frequency relation between each PRACH preamble </w:t>
            </w:r>
            <w:r>
              <w:t>in PRACH occasion(s) to the PUSCH occasion is single specification fixed value. Different preambles in different PRACH occasions can have different values.</w:t>
            </w:r>
          </w:p>
          <w:p w:rsidR="0050330A" w:rsidRDefault="00CA12B0">
            <w:pPr>
              <w:pStyle w:val="ListParagraph"/>
              <w:numPr>
                <w:ilvl w:val="2"/>
                <w:numId w:val="29"/>
              </w:numPr>
              <w:snapToGrid w:val="0"/>
              <w:ind w:firstLine="400"/>
              <w:jc w:val="both"/>
            </w:pPr>
            <w:r>
              <w:t xml:space="preserve">Alt 3: Time/frequency relation between PRACH preambles in PRACH occasion(s) and PUSCH occasions are </w:t>
            </w:r>
            <w:r>
              <w:t>single semi-statically configured value.</w:t>
            </w:r>
          </w:p>
          <w:p w:rsidR="0050330A" w:rsidRDefault="00CA12B0">
            <w:pPr>
              <w:pStyle w:val="ListParagraph"/>
              <w:numPr>
                <w:ilvl w:val="2"/>
                <w:numId w:val="29"/>
              </w:numPr>
              <w:snapToGrid w:val="0"/>
              <w:ind w:firstLine="400"/>
              <w:jc w:val="both"/>
            </w:pPr>
            <w:r>
              <w:t>Alt 4: Time/frequency relation between each PRACH preamble in PRACH occasion(s) to the PUSCH occasion is semi-statically configured value. Different preambles in different PRACH occasions can have different values.</w:t>
            </w:r>
          </w:p>
          <w:p w:rsidR="0050330A" w:rsidRDefault="00CA12B0">
            <w:pPr>
              <w:pStyle w:val="ListParagraph"/>
              <w:numPr>
                <w:ilvl w:val="2"/>
                <w:numId w:val="29"/>
              </w:numPr>
              <w:snapToGrid w:val="0"/>
              <w:ind w:firstLine="400"/>
              <w:jc w:val="both"/>
            </w:pPr>
            <w:r>
              <w:t>Note: The time and frequency relation is not required to be the same alternative.</w:t>
            </w:r>
          </w:p>
          <w:p w:rsidR="0050330A" w:rsidRDefault="00CA12B0">
            <w:pPr>
              <w:pStyle w:val="ListParagraph"/>
              <w:numPr>
                <w:ilvl w:val="1"/>
                <w:numId w:val="29"/>
              </w:numPr>
              <w:snapToGrid w:val="0"/>
              <w:ind w:firstLine="400"/>
              <w:jc w:val="both"/>
            </w:pPr>
            <w:r>
              <w:t>FFS detailed mapping between preamble and PUSCH resource + DMRS</w:t>
            </w:r>
          </w:p>
          <w:p w:rsidR="0050330A" w:rsidRDefault="0050330A">
            <w:pPr>
              <w:rPr>
                <w:b/>
                <w:szCs w:val="20"/>
              </w:rPr>
            </w:pPr>
          </w:p>
        </w:tc>
      </w:tr>
    </w:tbl>
    <w:p w:rsidR="0050330A" w:rsidRDefault="0050330A">
      <w:pPr>
        <w:rPr>
          <w:sz w:val="22"/>
        </w:rPr>
      </w:pPr>
    </w:p>
    <w:p w:rsidR="0050330A" w:rsidRDefault="0050330A">
      <w:pPr>
        <w:rPr>
          <w:sz w:val="22"/>
        </w:rPr>
      </w:pPr>
    </w:p>
    <w:tbl>
      <w:tblPr>
        <w:tblStyle w:val="TableGrid"/>
        <w:tblW w:w="9016" w:type="dxa"/>
        <w:tblLayout w:type="fixed"/>
        <w:tblLook w:val="04A0" w:firstRow="1" w:lastRow="0" w:firstColumn="1" w:lastColumn="0" w:noHBand="0" w:noVBand="1"/>
      </w:tblPr>
      <w:tblGrid>
        <w:gridCol w:w="9016"/>
      </w:tblGrid>
      <w:tr w:rsidR="0050330A">
        <w:tc>
          <w:tcPr>
            <w:tcW w:w="9016" w:type="dxa"/>
          </w:tcPr>
          <w:p w:rsidR="0050330A" w:rsidRDefault="00CA12B0">
            <w:pPr>
              <w:rPr>
                <w:b/>
                <w:szCs w:val="20"/>
              </w:rPr>
            </w:pPr>
            <w:r>
              <w:rPr>
                <w:szCs w:val="20"/>
                <w:highlight w:val="green"/>
              </w:rPr>
              <w:t>Agreements</w:t>
            </w:r>
            <w:r>
              <w:rPr>
                <w:b/>
                <w:szCs w:val="20"/>
              </w:rPr>
              <w:t>:</w:t>
            </w:r>
          </w:p>
          <w:p w:rsidR="0050330A" w:rsidRDefault="00CA12B0">
            <w:pPr>
              <w:pStyle w:val="ListParagraph"/>
              <w:numPr>
                <w:ilvl w:val="0"/>
                <w:numId w:val="31"/>
              </w:numPr>
              <w:snapToGrid w:val="0"/>
              <w:ind w:firstLine="400"/>
              <w:jc w:val="both"/>
            </w:pPr>
            <w:r>
              <w:t xml:space="preserve">For the relation of PRACH resources between 2-step and 4-step RACH, further study the </w:t>
            </w:r>
            <w:r>
              <w:t>following options (for possible down-selection or combination(s) of the options)</w:t>
            </w:r>
          </w:p>
          <w:p w:rsidR="0050330A" w:rsidRDefault="00CA12B0">
            <w:pPr>
              <w:pStyle w:val="ListParagraph"/>
              <w:numPr>
                <w:ilvl w:val="1"/>
                <w:numId w:val="31"/>
              </w:numPr>
              <w:snapToGrid w:val="0"/>
              <w:ind w:firstLine="400"/>
              <w:jc w:val="both"/>
            </w:pPr>
            <w:r>
              <w:lastRenderedPageBreak/>
              <w:t>Option 1: Separate ROs are configured for</w:t>
            </w:r>
            <w:r>
              <w:rPr>
                <w:rFonts w:hint="eastAsia"/>
              </w:rPr>
              <w:t xml:space="preserve"> 2</w:t>
            </w:r>
            <w:r>
              <w:t>-</w:t>
            </w:r>
            <w:r>
              <w:rPr>
                <w:rFonts w:hint="eastAsia"/>
              </w:rPr>
              <w:t>step and 4</w:t>
            </w:r>
            <w:r>
              <w:t>-</w:t>
            </w:r>
            <w:r>
              <w:rPr>
                <w:rFonts w:hint="eastAsia"/>
              </w:rPr>
              <w:t>step RACH</w:t>
            </w:r>
            <w:r>
              <w:t xml:space="preserve"> </w:t>
            </w:r>
          </w:p>
          <w:p w:rsidR="0050330A" w:rsidRDefault="00CA12B0">
            <w:pPr>
              <w:pStyle w:val="ListParagraph"/>
              <w:numPr>
                <w:ilvl w:val="1"/>
                <w:numId w:val="31"/>
              </w:numPr>
              <w:snapToGrid w:val="0"/>
              <w:ind w:firstLine="400"/>
              <w:jc w:val="both"/>
            </w:pPr>
            <w:r>
              <w:t xml:space="preserve">Option 2: Shared RO but separate preambles for </w:t>
            </w:r>
            <w:r>
              <w:rPr>
                <w:rFonts w:hint="eastAsia"/>
              </w:rPr>
              <w:t>2</w:t>
            </w:r>
            <w:r>
              <w:t>-</w:t>
            </w:r>
            <w:r>
              <w:rPr>
                <w:rFonts w:hint="eastAsia"/>
              </w:rPr>
              <w:t>step and 4</w:t>
            </w:r>
            <w:r>
              <w:t>-</w:t>
            </w:r>
            <w:r>
              <w:rPr>
                <w:rFonts w:hint="eastAsia"/>
              </w:rPr>
              <w:t>step RACH</w:t>
            </w:r>
          </w:p>
          <w:p w:rsidR="0050330A" w:rsidRDefault="00CA12B0" w:rsidP="00D80AF4">
            <w:pPr>
              <w:pStyle w:val="ListParagraph"/>
              <w:numPr>
                <w:ilvl w:val="1"/>
                <w:numId w:val="31"/>
              </w:numPr>
              <w:snapToGrid w:val="0"/>
              <w:ind w:firstLine="400"/>
              <w:jc w:val="both"/>
              <w:rPr>
                <w:rFonts w:hint="eastAsia"/>
                <w:b/>
                <w:szCs w:val="20"/>
              </w:rPr>
            </w:pPr>
            <w:r>
              <w:t xml:space="preserve">Option 3: </w:t>
            </w:r>
            <w:r>
              <w:rPr>
                <w:kern w:val="2"/>
              </w:rPr>
              <w:t>Shared RO and shared preamble</w:t>
            </w:r>
            <w:r>
              <w:rPr>
                <w:kern w:val="2"/>
              </w:rPr>
              <w:t>s for 2-step and 4-step RACH</w:t>
            </w:r>
          </w:p>
        </w:tc>
      </w:tr>
    </w:tbl>
    <w:p w:rsidR="0050330A" w:rsidRDefault="0050330A">
      <w:pPr>
        <w:rPr>
          <w:sz w:val="22"/>
        </w:rPr>
      </w:pPr>
    </w:p>
    <w:p w:rsidR="0050330A" w:rsidRDefault="00CA12B0">
      <w:pPr>
        <w:rPr>
          <w:sz w:val="22"/>
        </w:rPr>
      </w:pPr>
      <w:r>
        <w:rPr>
          <w:rFonts w:hint="eastAsia"/>
          <w:sz w:val="22"/>
        </w:rPr>
        <w:t xml:space="preserve">During the email discussion [1] focusing on potential link-level simulation assumptions for 2-step RACH, some companies expressed views on the modelling of collision probability via analytical model. To this end, we provide </w:t>
      </w:r>
      <w:r>
        <w:rPr>
          <w:rFonts w:hint="eastAsia"/>
          <w:sz w:val="22"/>
        </w:rPr>
        <w:t xml:space="preserve">some analysis and numerical calculations on the </w:t>
      </w:r>
      <w:proofErr w:type="spellStart"/>
      <w:r>
        <w:rPr>
          <w:rFonts w:hint="eastAsia"/>
          <w:sz w:val="22"/>
        </w:rPr>
        <w:t>msgA</w:t>
      </w:r>
      <w:proofErr w:type="spellEnd"/>
      <w:r>
        <w:rPr>
          <w:rFonts w:hint="eastAsia"/>
          <w:sz w:val="22"/>
        </w:rPr>
        <w:t xml:space="preserve"> collision probability.</w:t>
      </w:r>
    </w:p>
    <w:p w:rsidR="0050330A" w:rsidRDefault="00CA12B0">
      <w:pPr>
        <w:pStyle w:val="Heading1"/>
        <w:numPr>
          <w:ilvl w:val="0"/>
          <w:numId w:val="28"/>
        </w:numPr>
        <w:ind w:hanging="644"/>
        <w:rPr>
          <w:szCs w:val="22"/>
        </w:rPr>
      </w:pPr>
      <w:bookmarkStart w:id="7" w:name="OLE_LINK72"/>
      <w:bookmarkStart w:id="8" w:name="OLE_LINK71"/>
      <w:bookmarkEnd w:id="5"/>
      <w:bookmarkEnd w:id="6"/>
      <w:r>
        <w:rPr>
          <w:rFonts w:hint="eastAsia"/>
          <w:szCs w:val="22"/>
          <w:lang w:val="en-US" w:eastAsia="zh-CN"/>
        </w:rPr>
        <w:t xml:space="preserve">Collision Probability of </w:t>
      </w:r>
      <w:proofErr w:type="spellStart"/>
      <w:r>
        <w:rPr>
          <w:rFonts w:hint="eastAsia"/>
          <w:szCs w:val="22"/>
          <w:lang w:val="en-US" w:eastAsia="zh-CN"/>
        </w:rPr>
        <w:t>MsgA</w:t>
      </w:r>
      <w:proofErr w:type="spellEnd"/>
      <w:r>
        <w:rPr>
          <w:rFonts w:hint="eastAsia"/>
          <w:szCs w:val="22"/>
          <w:lang w:val="en-US" w:eastAsia="zh-CN"/>
        </w:rPr>
        <w:t xml:space="preserve"> </w:t>
      </w:r>
    </w:p>
    <w:p w:rsidR="0050330A" w:rsidRDefault="00CA12B0">
      <w:pPr>
        <w:pStyle w:val="Heading2"/>
        <w:numPr>
          <w:ilvl w:val="1"/>
          <w:numId w:val="28"/>
        </w:numPr>
        <w:spacing w:before="60" w:after="60"/>
      </w:pPr>
      <w:r>
        <w:rPr>
          <w:rFonts w:hint="eastAsia"/>
          <w:lang w:val="en-US" w:eastAsia="zh-CN"/>
        </w:rPr>
        <w:t>PRACH collision probability</w:t>
      </w:r>
    </w:p>
    <w:p w:rsidR="0050330A" w:rsidRDefault="00CA12B0">
      <w:r>
        <w:rPr>
          <w:rFonts w:hint="eastAsia"/>
        </w:rPr>
        <w:t>The following RACH collision probability estimation formula has been captured in [2] assuming that there are a large numb</w:t>
      </w:r>
      <w:r>
        <w:rPr>
          <w:rFonts w:hint="eastAsia"/>
        </w:rPr>
        <w:t xml:space="preserve">er of devices in the cell and the arrival of RACH requests is uniformly distributed over time. </w:t>
      </w:r>
    </w:p>
    <w:p w:rsidR="0050330A" w:rsidRDefault="00CA12B0">
      <w:pPr>
        <w:jc w:val="center"/>
      </w:pPr>
      <w:r>
        <w:rPr>
          <w:rFonts w:hint="eastAsia"/>
          <w:position w:val="-14"/>
        </w:rPr>
        <w:object w:dxaOrig="1617" w:dyaOrig="3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85pt;height:19.7pt" o:ole="">
            <v:imagedata r:id="rId9" o:title=""/>
          </v:shape>
          <o:OLEObject Type="Embed" ProgID="Equation.3" ShapeID="_x0000_i1025" DrawAspect="Content" ObjectID="_1615403145" r:id="rId10"/>
        </w:object>
      </w:r>
      <w:r>
        <w:rPr>
          <w:rFonts w:hint="eastAsia"/>
        </w:rPr>
        <w:t>(1)</w:t>
      </w:r>
    </w:p>
    <w:p w:rsidR="0050330A" w:rsidRDefault="00CA12B0">
      <w:r>
        <w:rPr>
          <w:rFonts w:hint="eastAsia"/>
        </w:rPr>
        <w:t xml:space="preserve">In the formula, </w:t>
      </w:r>
      <w:r>
        <w:rPr>
          <w:rFonts w:hint="eastAsia"/>
          <w:position w:val="-10"/>
        </w:rPr>
        <w:object w:dxaOrig="204" w:dyaOrig="258">
          <v:shape id="_x0000_i1026" type="#_x0000_t75" style="width:10.2pt;height:12.9pt" o:ole="">
            <v:imagedata r:id="rId11" o:title=""/>
          </v:shape>
          <o:OLEObject Type="Embed" ProgID="Equation.3" ShapeID="_x0000_i1026" DrawAspect="Content" ObjectID="_1615403146" r:id="rId12"/>
        </w:object>
      </w:r>
      <w:r>
        <w:rPr>
          <w:rFonts w:hint="eastAsia"/>
        </w:rPr>
        <w:t xml:space="preserve"> indicates the arrival rate per interval and </w:t>
      </w:r>
      <w:r>
        <w:rPr>
          <w:rFonts w:hint="eastAsia"/>
          <w:i/>
          <w:iCs/>
        </w:rPr>
        <w:t xml:space="preserve">L </w:t>
      </w:r>
      <w:r>
        <w:rPr>
          <w:rFonts w:hint="eastAsia"/>
        </w:rPr>
        <w:t xml:space="preserve">refers to number of opportunities within an </w:t>
      </w:r>
      <w:r>
        <w:rPr>
          <w:rFonts w:hint="eastAsia"/>
        </w:rPr>
        <w:t>interval. In this paper, we set the interval as RO</w:t>
      </w:r>
      <w:r>
        <w:t xml:space="preserve"> </w:t>
      </w:r>
      <w:r>
        <w:rPr>
          <w:rFonts w:hint="eastAsia"/>
        </w:rPr>
        <w:t xml:space="preserve">(i.e. RACH occasion). In </w:t>
      </w:r>
      <w:proofErr w:type="spellStart"/>
      <w:r>
        <w:rPr>
          <w:rFonts w:hint="eastAsia"/>
        </w:rPr>
        <w:t>msgA</w:t>
      </w:r>
      <w:proofErr w:type="spellEnd"/>
      <w:r>
        <w:rPr>
          <w:rFonts w:hint="eastAsia"/>
        </w:rPr>
        <w:t>, the mapping between PRACH and PUSCH could include the mapping relationship from preamble index/RO index/interlace index to the PUSCH configurations including MCS level, paylo</w:t>
      </w:r>
      <w:r>
        <w:rPr>
          <w:rFonts w:hint="eastAsia"/>
        </w:rPr>
        <w:t xml:space="preserve">ad size , occupied T-F resource, T-F resource location, DMRS port index(OCC pattern), RNTI for scrambling etc. In NR 4-step RACH, </w:t>
      </w:r>
      <w:proofErr w:type="spellStart"/>
      <w:r>
        <w:rPr>
          <w:rFonts w:hint="eastAsia"/>
        </w:rPr>
        <w:t>GroupA</w:t>
      </w:r>
      <w:proofErr w:type="spellEnd"/>
      <w:r>
        <w:rPr>
          <w:rFonts w:hint="eastAsia"/>
        </w:rPr>
        <w:t xml:space="preserve"> and </w:t>
      </w:r>
      <w:proofErr w:type="spellStart"/>
      <w:r>
        <w:rPr>
          <w:rFonts w:hint="eastAsia"/>
        </w:rPr>
        <w:t>GroupB</w:t>
      </w:r>
      <w:proofErr w:type="spellEnd"/>
      <w:r>
        <w:rPr>
          <w:rFonts w:hint="eastAsia"/>
        </w:rPr>
        <w:t xml:space="preserve"> partition of preambles has been supported to indicate the payload size/resource utilization information. The</w:t>
      </w:r>
      <w:r>
        <w:rPr>
          <w:rFonts w:hint="eastAsia"/>
        </w:rPr>
        <w:t xml:space="preserve">refore grouping of preambles may be considered for 2-step RACH to support a certain level of flexibility of payload size, MCS, occupied T-F resources combinations etc. If equal partition of preamble groups is adopted, unequal traffic arrival rate may lead </w:t>
      </w:r>
      <w:r>
        <w:rPr>
          <w:rFonts w:hint="eastAsia"/>
        </w:rPr>
        <w:t xml:space="preserve">to collision probability difference across different groups as illustrated in Figure.1. </w:t>
      </w:r>
    </w:p>
    <w:p w:rsidR="0050330A" w:rsidRDefault="00CA12B0">
      <w:r>
        <w:rPr>
          <w:rFonts w:hint="eastAsia"/>
        </w:rPr>
        <w:t xml:space="preserve">Consider the case where the equal partitioned group of preambles are further taken to indicate 2-step and 4-step RACH. If 2-step and 4-step RACH share the same RO but </w:t>
      </w:r>
      <w:r>
        <w:rPr>
          <w:rFonts w:hint="eastAsia"/>
        </w:rPr>
        <w:t>have separate preambles, the collision probability could increase for legacy 4-step RACH UEs with higher traffic arrival rate as illustrated in Figure</w:t>
      </w:r>
      <w:r>
        <w:t xml:space="preserve"> </w:t>
      </w:r>
      <w:r>
        <w:rPr>
          <w:rFonts w:hint="eastAsia"/>
        </w:rPr>
        <w:t>1.</w:t>
      </w:r>
    </w:p>
    <w:p w:rsidR="0050330A" w:rsidRDefault="0050330A"/>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1"/>
        <w:gridCol w:w="4621"/>
      </w:tblGrid>
      <w:tr w:rsidR="0050330A">
        <w:tc>
          <w:tcPr>
            <w:tcW w:w="4621" w:type="dxa"/>
            <w:tcBorders>
              <w:top w:val="nil"/>
              <w:left w:val="nil"/>
              <w:bottom w:val="nil"/>
              <w:right w:val="nil"/>
            </w:tcBorders>
          </w:tcPr>
          <w:p w:rsidR="0050330A" w:rsidRDefault="00CA12B0">
            <w:r>
              <w:rPr>
                <w:noProof/>
              </w:rPr>
              <w:lastRenderedPageBreak/>
              <w:drawing>
                <wp:inline distT="0" distB="0" distL="114300" distR="114300">
                  <wp:extent cx="2823845" cy="211264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2823845" cy="2112645"/>
                          </a:xfrm>
                          <a:prstGeom prst="rect">
                            <a:avLst/>
                          </a:prstGeom>
                          <a:noFill/>
                          <a:ln>
                            <a:noFill/>
                          </a:ln>
                        </pic:spPr>
                      </pic:pic>
                    </a:graphicData>
                  </a:graphic>
                </wp:inline>
              </w:drawing>
            </w:r>
          </w:p>
        </w:tc>
        <w:tc>
          <w:tcPr>
            <w:tcW w:w="4621" w:type="dxa"/>
            <w:tcBorders>
              <w:top w:val="nil"/>
              <w:left w:val="nil"/>
              <w:bottom w:val="nil"/>
              <w:right w:val="nil"/>
            </w:tcBorders>
          </w:tcPr>
          <w:p w:rsidR="0050330A" w:rsidRDefault="00CA12B0">
            <w:r>
              <w:rPr>
                <w:noProof/>
              </w:rPr>
              <w:drawing>
                <wp:inline distT="0" distB="0" distL="114300" distR="114300">
                  <wp:extent cx="2746375" cy="198501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2746375" cy="1985010"/>
                          </a:xfrm>
                          <a:prstGeom prst="rect">
                            <a:avLst/>
                          </a:prstGeom>
                          <a:noFill/>
                          <a:ln>
                            <a:noFill/>
                          </a:ln>
                        </pic:spPr>
                      </pic:pic>
                    </a:graphicData>
                  </a:graphic>
                </wp:inline>
              </w:drawing>
            </w:r>
          </w:p>
        </w:tc>
      </w:tr>
    </w:tbl>
    <w:p w:rsidR="0050330A" w:rsidRDefault="00CA12B0">
      <w:pPr>
        <w:jc w:val="center"/>
      </w:pPr>
      <w:r>
        <w:rPr>
          <w:rFonts w:hint="eastAsia"/>
        </w:rPr>
        <w:t xml:space="preserve">Figure 1. Collision Probability across Equally Partitioned Preamble Groups with Unequal Arrival </w:t>
      </w:r>
      <w:r>
        <w:rPr>
          <w:rFonts w:hint="eastAsia"/>
        </w:rPr>
        <w:t>Rate</w:t>
      </w:r>
    </w:p>
    <w:p w:rsidR="0050330A" w:rsidRDefault="00CA12B0">
      <w:pPr>
        <w:rPr>
          <w:sz w:val="21"/>
        </w:rPr>
      </w:pPr>
      <w:r>
        <w:rPr>
          <w:rFonts w:hint="eastAsia"/>
          <w:sz w:val="21"/>
        </w:rPr>
        <w:t xml:space="preserve">The overall collision probability analysis and its impact on </w:t>
      </w:r>
      <w:proofErr w:type="spellStart"/>
      <w:r>
        <w:rPr>
          <w:rFonts w:hint="eastAsia"/>
          <w:sz w:val="21"/>
        </w:rPr>
        <w:t>mis</w:t>
      </w:r>
      <w:proofErr w:type="spellEnd"/>
      <w:r>
        <w:rPr>
          <w:rFonts w:hint="eastAsia"/>
          <w:sz w:val="21"/>
        </w:rPr>
        <w:t>-detection rate are provided in the appendix.</w:t>
      </w:r>
    </w:p>
    <w:p w:rsidR="0050330A" w:rsidRDefault="0050330A"/>
    <w:p w:rsidR="0050330A" w:rsidRDefault="00CA12B0">
      <w:pPr>
        <w:rPr>
          <w:rFonts w:eastAsia="Times New Roman"/>
          <w:b/>
          <w:i/>
          <w:sz w:val="22"/>
        </w:rPr>
      </w:pPr>
      <w:r>
        <w:rPr>
          <w:rFonts w:eastAsia="Times New Roman" w:hint="eastAsia"/>
          <w:b/>
          <w:i/>
          <w:sz w:val="22"/>
        </w:rPr>
        <w:t>Observation 1:</w:t>
      </w:r>
      <w:r>
        <w:rPr>
          <w:rFonts w:hint="eastAsia"/>
        </w:rPr>
        <w:t xml:space="preserve"> </w:t>
      </w:r>
      <w:r>
        <w:rPr>
          <w:rFonts w:eastAsia="Times New Roman" w:hint="eastAsia"/>
          <w:b/>
          <w:i/>
          <w:sz w:val="22"/>
        </w:rPr>
        <w:t xml:space="preserve">For equal partition of preamble group, unequal arrival rate will lead to collision probability increase for certain group(s) </w:t>
      </w:r>
      <w:r>
        <w:rPr>
          <w:rFonts w:eastAsia="Times New Roman" w:hint="eastAsia"/>
          <w:b/>
          <w:i/>
          <w:sz w:val="22"/>
        </w:rPr>
        <w:t>with arrival rate superior to the average whilst collision probability decrease for the groups with arrival rate inferior to the average.</w:t>
      </w:r>
    </w:p>
    <w:p w:rsidR="0050330A" w:rsidRDefault="0050330A">
      <w:pPr>
        <w:rPr>
          <w:rFonts w:eastAsia="Times New Roman"/>
          <w:b/>
          <w:i/>
          <w:sz w:val="22"/>
        </w:rPr>
      </w:pPr>
    </w:p>
    <w:p w:rsidR="0050330A" w:rsidRDefault="00CA12B0">
      <w:pPr>
        <w:rPr>
          <w:rFonts w:eastAsia="Times New Roman"/>
          <w:b/>
          <w:i/>
          <w:sz w:val="22"/>
        </w:rPr>
      </w:pPr>
      <w:r>
        <w:rPr>
          <w:rFonts w:eastAsia="Times New Roman" w:hint="eastAsia"/>
          <w:b/>
          <w:i/>
          <w:sz w:val="22"/>
        </w:rPr>
        <w:t xml:space="preserve">Observation 2: From the collision probability perspective, </w:t>
      </w:r>
      <w:r>
        <w:rPr>
          <w:rFonts w:eastAsia="Times New Roman"/>
          <w:b/>
          <w:i/>
          <w:sz w:val="22"/>
        </w:rPr>
        <w:t xml:space="preserve">sharing RO </w:t>
      </w:r>
      <w:r>
        <w:rPr>
          <w:rFonts w:eastAsia="Times New Roman" w:hint="eastAsia"/>
          <w:b/>
          <w:i/>
          <w:sz w:val="22"/>
        </w:rPr>
        <w:t>between 2-step and 4-step RACH is not preferred</w:t>
      </w:r>
      <w:r>
        <w:rPr>
          <w:rFonts w:eastAsia="Times New Roman" w:hint="eastAsia"/>
          <w:b/>
          <w:i/>
          <w:sz w:val="22"/>
        </w:rPr>
        <w:t>.</w:t>
      </w:r>
    </w:p>
    <w:p w:rsidR="0050330A" w:rsidRDefault="0050330A">
      <w:pPr>
        <w:rPr>
          <w:rFonts w:eastAsia="Times New Roman"/>
          <w:b/>
          <w:i/>
          <w:sz w:val="22"/>
        </w:rPr>
      </w:pPr>
    </w:p>
    <w:p w:rsidR="0050330A" w:rsidRDefault="00CA12B0">
      <w:pPr>
        <w:pStyle w:val="Heading2"/>
        <w:numPr>
          <w:ilvl w:val="1"/>
          <w:numId w:val="28"/>
        </w:numPr>
        <w:spacing w:before="60" w:after="60"/>
      </w:pPr>
      <w:r>
        <w:rPr>
          <w:rFonts w:hint="eastAsia"/>
          <w:lang w:val="en-US" w:eastAsia="zh-CN"/>
        </w:rPr>
        <w:t>PUSCH collision probability</w:t>
      </w:r>
    </w:p>
    <w:p w:rsidR="0050330A" w:rsidRDefault="00CA12B0">
      <w:r>
        <w:rPr>
          <w:rFonts w:hint="eastAsia"/>
        </w:rPr>
        <w:t xml:space="preserve">For 2-step RACH, PUSCH is transmitted </w:t>
      </w:r>
      <w:proofErr w:type="spellStart"/>
      <w:r>
        <w:rPr>
          <w:rFonts w:hint="eastAsia"/>
        </w:rPr>
        <w:t>TDMed</w:t>
      </w:r>
      <w:proofErr w:type="spellEnd"/>
      <w:r>
        <w:rPr>
          <w:rFonts w:hint="eastAsia"/>
        </w:rPr>
        <w:t xml:space="preserve"> with PRACH</w:t>
      </w:r>
      <w:r>
        <w:t xml:space="preserve"> </w:t>
      </w:r>
      <w:r>
        <w:rPr>
          <w:rFonts w:hint="eastAsia"/>
        </w:rPr>
        <w:t>[3]. The arrival rate at a certain preamble group would be the same as that at the PUSCH resource the preamble group is mapped to. As mentioned in the previous section, t</w:t>
      </w:r>
      <w:r>
        <w:rPr>
          <w:rFonts w:hint="eastAsia"/>
        </w:rPr>
        <w:t>he unequal arrival rate at each preamble group will lead to different PRACH collision probability group wise. Therefore unequal collision probability will be anticipated for each PUSCH occasion. This section analyzes the PUSCH collision probability in case</w:t>
      </w:r>
      <w:r>
        <w:rPr>
          <w:rFonts w:hint="eastAsia"/>
        </w:rPr>
        <w:t xml:space="preserve"> of a single preamble group. The conclusion holds as well for the case where the arrival rate at each preamble group is the same or the traffic pattern matches the number of preambles within a group. Extension to the preamble group size and traffic arrival</w:t>
      </w:r>
      <w:r>
        <w:rPr>
          <w:rFonts w:hint="eastAsia"/>
        </w:rPr>
        <w:t xml:space="preserve"> rate </w:t>
      </w:r>
      <w:proofErr w:type="spellStart"/>
      <w:r>
        <w:rPr>
          <w:rFonts w:hint="eastAsia"/>
        </w:rPr>
        <w:t>mis</w:t>
      </w:r>
      <w:proofErr w:type="spellEnd"/>
      <w:r>
        <w:rPr>
          <w:rFonts w:hint="eastAsia"/>
        </w:rPr>
        <w:t>-match case may be done depending on whether the PRACH/PUSCH collision probability analysis would take a slot or UE perspective elaborated in the appendix.</w:t>
      </w:r>
    </w:p>
    <w:p w:rsidR="0050330A" w:rsidRDefault="00CA12B0">
      <w:pPr>
        <w:pStyle w:val="Heading2"/>
        <w:numPr>
          <w:ilvl w:val="1"/>
          <w:numId w:val="28"/>
        </w:numPr>
        <w:spacing w:before="60" w:after="60"/>
      </w:pPr>
      <w:r>
        <w:rPr>
          <w:rFonts w:hint="eastAsia"/>
          <w:lang w:val="en-US" w:eastAsia="zh-CN"/>
        </w:rPr>
        <w:lastRenderedPageBreak/>
        <w:t>1-to-1 Mapping</w:t>
      </w:r>
      <w:r>
        <w:rPr>
          <w:lang w:val="en-US" w:eastAsia="zh-CN"/>
        </w:rPr>
        <w:t xml:space="preserve"> (each preamble is mapped to a distinguishable PUSCH occasion or DMRS port)</w:t>
      </w:r>
    </w:p>
    <w:p w:rsidR="0050330A" w:rsidRDefault="00CA12B0">
      <w:pPr>
        <w:pStyle w:val="Heading2"/>
        <w:spacing w:before="60" w:after="60"/>
        <w:rPr>
          <w:rFonts w:ascii="Times New Roman" w:hAnsi="Times New Roman"/>
          <w:sz w:val="21"/>
          <w:szCs w:val="22"/>
          <w:lang w:val="en-US" w:eastAsia="zh-CN"/>
        </w:rPr>
      </w:pPr>
      <w:r>
        <w:rPr>
          <w:rFonts w:ascii="Times New Roman" w:hAnsi="Times New Roman" w:hint="eastAsia"/>
          <w:sz w:val="21"/>
          <w:szCs w:val="22"/>
          <w:lang w:val="en-US" w:eastAsia="zh-CN"/>
        </w:rPr>
        <w:t>S</w:t>
      </w:r>
      <w:r>
        <w:rPr>
          <w:rFonts w:ascii="Times New Roman" w:hAnsi="Times New Roman" w:hint="eastAsia"/>
          <w:sz w:val="21"/>
          <w:szCs w:val="22"/>
          <w:lang w:val="en-US" w:eastAsia="zh-CN"/>
        </w:rPr>
        <w:t xml:space="preserve">imilar to the PRACH collision, PUSCH collision probability may be defined as occurrences of choosing the same </w:t>
      </w:r>
      <w:proofErr w:type="spellStart"/>
      <w:r>
        <w:rPr>
          <w:rFonts w:ascii="Times New Roman" w:hAnsi="Times New Roman" w:hint="eastAsia"/>
          <w:sz w:val="21"/>
          <w:szCs w:val="22"/>
          <w:lang w:val="en-US" w:eastAsia="zh-CN"/>
        </w:rPr>
        <w:t>time</w:t>
      </w:r>
      <w:proofErr w:type="gramStart"/>
      <w:r>
        <w:rPr>
          <w:rFonts w:ascii="Times New Roman" w:hAnsi="Times New Roman" w:hint="eastAsia"/>
          <w:sz w:val="21"/>
          <w:szCs w:val="22"/>
          <w:lang w:val="en-US" w:eastAsia="zh-CN"/>
        </w:rPr>
        <w:t>,freq</w:t>
      </w:r>
      <w:proofErr w:type="spellEnd"/>
      <w:proofErr w:type="gramEnd"/>
      <w:r>
        <w:rPr>
          <w:rFonts w:ascii="Times New Roman" w:hAnsi="Times New Roman" w:hint="eastAsia"/>
          <w:sz w:val="21"/>
          <w:szCs w:val="22"/>
          <w:lang w:val="en-US" w:eastAsia="zh-CN"/>
        </w:rPr>
        <w:t>.&amp; DMRS port over the total number of PUSCH opportunities(including time, frequency and code domain). 1-to-1 mapping refers to the method</w:t>
      </w:r>
      <w:r>
        <w:rPr>
          <w:rFonts w:ascii="Times New Roman" w:hAnsi="Times New Roman" w:hint="eastAsia"/>
          <w:sz w:val="21"/>
          <w:szCs w:val="22"/>
          <w:lang w:val="en-US" w:eastAsia="zh-CN"/>
        </w:rPr>
        <w:t>ology of mapping each preamble to a certain DMRS port within a time frequency transmission resource unit</w:t>
      </w:r>
      <w:r>
        <w:rPr>
          <w:rFonts w:ascii="Times New Roman" w:hAnsi="Times New Roman"/>
          <w:sz w:val="21"/>
          <w:szCs w:val="22"/>
          <w:lang w:val="en-US" w:eastAsia="zh-CN"/>
        </w:rPr>
        <w:t xml:space="preserve"> </w:t>
      </w:r>
      <w:r>
        <w:rPr>
          <w:rFonts w:ascii="Times New Roman" w:hAnsi="Times New Roman" w:hint="eastAsia"/>
          <w:sz w:val="21"/>
          <w:szCs w:val="22"/>
          <w:lang w:val="en-US" w:eastAsia="zh-CN"/>
        </w:rPr>
        <w:t>(PUSCH occasion) allocated to a UE. With the above terminology, we could derive for the case of 1-to-1 mapping, the PUSCH collision probability. To ach</w:t>
      </w:r>
      <w:r>
        <w:rPr>
          <w:rFonts w:ascii="Times New Roman" w:hAnsi="Times New Roman" w:hint="eastAsia"/>
          <w:sz w:val="21"/>
          <w:szCs w:val="22"/>
          <w:lang w:val="en-US" w:eastAsia="zh-CN"/>
        </w:rPr>
        <w:t>ieve 1-to-1 mapping, the following formula needs to be satisfied</w:t>
      </w:r>
    </w:p>
    <w:p w:rsidR="0050330A" w:rsidRDefault="00CA12B0">
      <w:pPr>
        <w:jc w:val="center"/>
      </w:pPr>
      <w:r>
        <w:rPr>
          <w:rFonts w:hint="eastAsia"/>
          <w:position w:val="-28"/>
        </w:rPr>
        <w:object w:dxaOrig="1440" w:dyaOrig="720">
          <v:shape id="_x0000_i1027" type="#_x0000_t75" style="width:1in;height:36pt" o:ole="">
            <v:imagedata r:id="rId15" o:title=""/>
          </v:shape>
          <o:OLEObject Type="Embed" ProgID="Equation.3" ShapeID="_x0000_i1027" DrawAspect="Content" ObjectID="_1615403147" r:id="rId16"/>
        </w:object>
      </w:r>
    </w:p>
    <w:p w:rsidR="0050330A" w:rsidRDefault="00CA12B0">
      <w:pPr>
        <w:rPr>
          <w:sz w:val="21"/>
        </w:rPr>
      </w:pPr>
      <w:proofErr w:type="gramStart"/>
      <w:r>
        <w:rPr>
          <w:rFonts w:hint="eastAsia"/>
          <w:sz w:val="21"/>
        </w:rPr>
        <w:t>where</w:t>
      </w:r>
      <w:proofErr w:type="gramEnd"/>
      <w:r>
        <w:rPr>
          <w:rFonts w:hint="eastAsia"/>
          <w:sz w:val="21"/>
        </w:rPr>
        <w:t xml:space="preserve"> </w:t>
      </w:r>
      <w:r>
        <w:rPr>
          <w:rFonts w:hint="eastAsia"/>
          <w:position w:val="-14"/>
          <w:sz w:val="21"/>
        </w:rPr>
        <w:object w:dxaOrig="380" w:dyaOrig="380">
          <v:shape id="_x0000_i1028" type="#_x0000_t75" style="width:19pt;height:19pt" o:ole="">
            <v:imagedata r:id="rId17" o:title=""/>
          </v:shape>
          <o:OLEObject Type="Embed" ProgID="Equation.3" ShapeID="_x0000_i1028" DrawAspect="Content" ObjectID="_1615403148" r:id="rId18"/>
        </w:object>
      </w:r>
      <w:r>
        <w:rPr>
          <w:rFonts w:hint="eastAsia"/>
          <w:sz w:val="21"/>
        </w:rPr>
        <w:t xml:space="preserve">is the number of time frequency resource units mapped to </w:t>
      </w:r>
      <w:r>
        <w:rPr>
          <w:rFonts w:hint="eastAsia"/>
          <w:i/>
          <w:iCs/>
          <w:sz w:val="21"/>
        </w:rPr>
        <w:t>L</w:t>
      </w:r>
      <w:r>
        <w:rPr>
          <w:rFonts w:hint="eastAsia"/>
          <w:sz w:val="21"/>
        </w:rPr>
        <w:t xml:space="preserve"> 2-step RACH preambles. </w:t>
      </w:r>
      <w:r>
        <w:rPr>
          <w:rFonts w:hint="eastAsia"/>
          <w:position w:val="-14"/>
          <w:sz w:val="21"/>
        </w:rPr>
        <w:object w:dxaOrig="734" w:dyaOrig="394">
          <v:shape id="_x0000_i1029" type="#_x0000_t75" style="width:36.7pt;height:19.7pt" o:ole="">
            <v:imagedata r:id="rId19" o:title=""/>
          </v:shape>
          <o:OLEObject Type="Embed" ProgID="Equation.3" ShapeID="_x0000_i1029" DrawAspect="Content" ObjectID="_1615403149" r:id="rId20"/>
        </w:object>
      </w:r>
      <w:proofErr w:type="gramStart"/>
      <w:r>
        <w:rPr>
          <w:rFonts w:hint="eastAsia"/>
          <w:sz w:val="21"/>
        </w:rPr>
        <w:t>is</w:t>
      </w:r>
      <w:proofErr w:type="gramEnd"/>
      <w:r>
        <w:rPr>
          <w:rFonts w:hint="eastAsia"/>
          <w:sz w:val="21"/>
        </w:rPr>
        <w:t xml:space="preserve"> the number of DMRS ports that could be used by 2-step RACH </w:t>
      </w:r>
      <w:proofErr w:type="spellStart"/>
      <w:r>
        <w:rPr>
          <w:rFonts w:hint="eastAsia"/>
          <w:sz w:val="21"/>
        </w:rPr>
        <w:t>msgA</w:t>
      </w:r>
      <w:proofErr w:type="spellEnd"/>
      <w:r>
        <w:rPr>
          <w:rFonts w:hint="eastAsia"/>
          <w:sz w:val="21"/>
        </w:rPr>
        <w:t xml:space="preserve"> PUSCH. The value of </w:t>
      </w:r>
      <w:r>
        <w:rPr>
          <w:rFonts w:hint="eastAsia"/>
          <w:position w:val="-14"/>
          <w:sz w:val="21"/>
        </w:rPr>
        <w:object w:dxaOrig="734" w:dyaOrig="394">
          <v:shape id="_x0000_i1030" type="#_x0000_t75" style="width:36.7pt;height:19.7pt" o:ole="">
            <v:imagedata r:id="rId19" o:title=""/>
          </v:shape>
          <o:OLEObject Type="Embed" ProgID="Equation.3" ShapeID="_x0000_i1030" DrawAspect="Content" ObjectID="_1615403150" r:id="rId21"/>
        </w:object>
      </w:r>
      <w:r>
        <w:rPr>
          <w:rFonts w:hint="eastAsia"/>
          <w:sz w:val="21"/>
        </w:rPr>
        <w:t xml:space="preserve"> could range from {4</w:t>
      </w:r>
      <w:proofErr w:type="gramStart"/>
      <w:r>
        <w:rPr>
          <w:rFonts w:hint="eastAsia"/>
          <w:sz w:val="21"/>
        </w:rPr>
        <w:t>,6,8,12</w:t>
      </w:r>
      <w:proofErr w:type="gramEnd"/>
      <w:r>
        <w:rPr>
          <w:rFonts w:hint="eastAsia"/>
          <w:sz w:val="21"/>
        </w:rPr>
        <w:t xml:space="preserve">} depending on the DMRS Type or number of DMRS symbols. </w:t>
      </w:r>
      <w:r>
        <w:rPr>
          <w:rFonts w:hint="eastAsia"/>
          <w:position w:val="-14"/>
          <w:sz w:val="21"/>
        </w:rPr>
        <w:object w:dxaOrig="734" w:dyaOrig="394">
          <v:shape id="_x0000_i1031" type="#_x0000_t75" style="width:36.7pt;height:19.7pt" o:ole="">
            <v:imagedata r:id="rId19" o:title=""/>
          </v:shape>
          <o:OLEObject Type="Embed" ProgID="Equation.3" ShapeID="_x0000_i1031" DrawAspect="Content" ObjectID="_1615403151" r:id="rId22"/>
        </w:object>
      </w:r>
      <w:r>
        <w:rPr>
          <w:rFonts w:hint="eastAsia"/>
          <w:sz w:val="21"/>
        </w:rPr>
        <w:t xml:space="preserve"> </w:t>
      </w:r>
      <w:proofErr w:type="gramStart"/>
      <w:r>
        <w:rPr>
          <w:rFonts w:hint="eastAsia"/>
          <w:sz w:val="21"/>
        </w:rPr>
        <w:t>is</w:t>
      </w:r>
      <w:proofErr w:type="gramEnd"/>
      <w:r>
        <w:rPr>
          <w:rFonts w:hint="eastAsia"/>
          <w:sz w:val="21"/>
        </w:rPr>
        <w:t xml:space="preserve"> likely to be the same across the </w:t>
      </w:r>
      <w:r>
        <w:rPr>
          <w:rFonts w:hint="eastAsia"/>
          <w:position w:val="-14"/>
          <w:sz w:val="21"/>
        </w:rPr>
        <w:object w:dxaOrig="380" w:dyaOrig="380">
          <v:shape id="_x0000_i1032" type="#_x0000_t75" style="width:19pt;height:19pt" o:ole="">
            <v:imagedata r:id="rId17" o:title=""/>
          </v:shape>
          <o:OLEObject Type="Embed" ProgID="Equation.3" ShapeID="_x0000_i1032" DrawAspect="Content" ObjectID="_1615403152" r:id="rId23"/>
        </w:object>
      </w:r>
      <w:r>
        <w:rPr>
          <w:rFonts w:hint="eastAsia"/>
          <w:sz w:val="21"/>
        </w:rPr>
        <w:t>resources if mod(</w:t>
      </w:r>
      <w:r>
        <w:rPr>
          <w:rFonts w:hint="eastAsia"/>
          <w:i/>
          <w:iCs/>
          <w:sz w:val="21"/>
        </w:rPr>
        <w:t>L</w:t>
      </w:r>
      <w:r>
        <w:rPr>
          <w:rFonts w:hint="eastAsia"/>
          <w:sz w:val="21"/>
        </w:rPr>
        <w:t>,</w:t>
      </w:r>
      <w:r>
        <w:rPr>
          <w:rFonts w:hint="eastAsia"/>
          <w:position w:val="-14"/>
          <w:sz w:val="21"/>
        </w:rPr>
        <w:object w:dxaOrig="734" w:dyaOrig="394">
          <v:shape id="_x0000_i1033" type="#_x0000_t75" style="width:36.7pt;height:19.7pt" o:ole="">
            <v:imagedata r:id="rId19" o:title=""/>
          </v:shape>
          <o:OLEObject Type="Embed" ProgID="Equation.3" ShapeID="_x0000_i1033" DrawAspect="Content" ObjectID="_1615403153" r:id="rId24"/>
        </w:object>
      </w:r>
      <w:r>
        <w:rPr>
          <w:rFonts w:hint="eastAsia"/>
          <w:sz w:val="21"/>
        </w:rPr>
        <w:t>) = 0, otherwise there could be some singular group(s) whose number of DMRS ports used for 2-step RACH PUSCH could be inferior.</w:t>
      </w:r>
    </w:p>
    <w:p w:rsidR="0050330A" w:rsidRDefault="0050330A">
      <w:pPr>
        <w:rPr>
          <w:sz w:val="21"/>
        </w:rPr>
      </w:pPr>
    </w:p>
    <w:p w:rsidR="0050330A" w:rsidRDefault="00CA12B0">
      <w:pPr>
        <w:rPr>
          <w:sz w:val="21"/>
        </w:rPr>
      </w:pPr>
      <w:r>
        <w:rPr>
          <w:rFonts w:hint="eastAsia"/>
          <w:sz w:val="21"/>
        </w:rPr>
        <w:t xml:space="preserve">For each PUSCH occasion, regardless of </w:t>
      </w:r>
      <w:r>
        <w:rPr>
          <w:rFonts w:hint="eastAsia"/>
          <w:position w:val="-14"/>
          <w:sz w:val="21"/>
        </w:rPr>
        <w:object w:dxaOrig="734" w:dyaOrig="394">
          <v:shape id="_x0000_i1034" type="#_x0000_t75" style="width:36.7pt;height:19.7pt" o:ole="">
            <v:imagedata r:id="rId19" o:title=""/>
          </v:shape>
          <o:OLEObject Type="Embed" ProgID="Equation.3" ShapeID="_x0000_i1034" DrawAspect="Content" ObjectID="_1615403154" r:id="rId25"/>
        </w:object>
      </w:r>
      <w:r>
        <w:rPr>
          <w:rFonts w:hint="eastAsia"/>
          <w:sz w:val="21"/>
        </w:rPr>
        <w:t xml:space="preserve"> </w:t>
      </w:r>
      <w:proofErr w:type="spellStart"/>
      <w:r>
        <w:rPr>
          <w:rFonts w:hint="eastAsia"/>
          <w:sz w:val="21"/>
        </w:rPr>
        <w:t>of</w:t>
      </w:r>
      <w:proofErr w:type="spellEnd"/>
      <w:r>
        <w:rPr>
          <w:rFonts w:hint="eastAsia"/>
          <w:sz w:val="21"/>
        </w:rPr>
        <w:t xml:space="preserve"> this</w:t>
      </w:r>
      <w:r>
        <w:rPr>
          <w:rFonts w:hint="eastAsia"/>
          <w:sz w:val="21"/>
        </w:rPr>
        <w:t xml:space="preserve"> unit, the collision probability could therefore be derived as,</w:t>
      </w:r>
    </w:p>
    <w:p w:rsidR="0050330A" w:rsidRDefault="00CA12B0">
      <w:pPr>
        <w:jc w:val="center"/>
        <w:rPr>
          <w:sz w:val="21"/>
        </w:rPr>
      </w:pPr>
      <w:r>
        <w:rPr>
          <w:position w:val="-14"/>
          <w:sz w:val="21"/>
        </w:rPr>
        <w:object w:dxaOrig="4361" w:dyaOrig="462">
          <v:shape id="_x0000_i1035" type="#_x0000_t75" style="width:218.05pt;height:23.1pt" o:ole="">
            <v:imagedata r:id="rId26" o:title=""/>
          </v:shape>
          <o:OLEObject Type="Embed" ProgID="Equation.3" ShapeID="_x0000_i1035" DrawAspect="Content" ObjectID="_1615403155" r:id="rId27"/>
        </w:object>
      </w:r>
    </w:p>
    <w:p w:rsidR="0050330A" w:rsidRDefault="0050330A">
      <w:pPr>
        <w:rPr>
          <w:sz w:val="21"/>
        </w:rPr>
      </w:pPr>
    </w:p>
    <w:p w:rsidR="0050330A" w:rsidRDefault="00CA12B0">
      <w:pPr>
        <w:pStyle w:val="Heading2"/>
        <w:numPr>
          <w:ilvl w:val="1"/>
          <w:numId w:val="28"/>
        </w:numPr>
        <w:spacing w:before="60" w:after="60"/>
        <w:rPr>
          <w:bCs/>
          <w:lang w:val="en-US" w:eastAsia="zh-CN"/>
        </w:rPr>
      </w:pPr>
      <w:r>
        <w:rPr>
          <w:rFonts w:hint="eastAsia"/>
          <w:bCs/>
          <w:lang w:val="en-US" w:eastAsia="zh-CN"/>
        </w:rPr>
        <w:t>1-to-Multi Mapping or Mutli-to-1 Mapping</w:t>
      </w:r>
    </w:p>
    <w:p w:rsidR="0050330A" w:rsidRDefault="00CA12B0">
      <w:pPr>
        <w:rPr>
          <w:sz w:val="21"/>
        </w:rPr>
      </w:pPr>
      <w:r>
        <w:rPr>
          <w:rFonts w:hint="eastAsia"/>
          <w:sz w:val="21"/>
        </w:rPr>
        <w:t xml:space="preserve">The multi to 1 mapping may be used for its merit of reduction of PUSCH resource overhead or lower spectral efficiency while 1 to multi mapping may be considered for further reduction of collision probability. </w:t>
      </w:r>
    </w:p>
    <w:p w:rsidR="0050330A" w:rsidRDefault="0050330A">
      <w:pPr>
        <w:rPr>
          <w:sz w:val="21"/>
        </w:rPr>
      </w:pPr>
    </w:p>
    <w:p w:rsidR="0050330A" w:rsidRDefault="00CA12B0">
      <w:pPr>
        <w:rPr>
          <w:sz w:val="21"/>
        </w:rPr>
      </w:pPr>
      <w:r>
        <w:rPr>
          <w:rFonts w:hint="eastAsia"/>
          <w:sz w:val="21"/>
        </w:rPr>
        <w:t>Also, m</w:t>
      </w:r>
      <w:r>
        <w:rPr>
          <w:rFonts w:hint="eastAsia"/>
        </w:rPr>
        <w:t>ulti-to-1 mapping or 1-to-multi mappin</w:t>
      </w:r>
      <w:r>
        <w:rPr>
          <w:rFonts w:hint="eastAsia"/>
        </w:rPr>
        <w:t xml:space="preserve">g may be used together with 1 to 1 mapping in case </w:t>
      </w:r>
      <w:proofErr w:type="gramStart"/>
      <w:r>
        <w:rPr>
          <w:rFonts w:hint="eastAsia"/>
        </w:rPr>
        <w:t xml:space="preserve">of </w:t>
      </w:r>
      <w:proofErr w:type="gramEnd"/>
      <w:r>
        <w:rPr>
          <w:rFonts w:hint="eastAsia"/>
          <w:position w:val="-14"/>
          <w:sz w:val="21"/>
        </w:rPr>
        <w:object w:dxaOrig="1943" w:dyaOrig="394">
          <v:shape id="_x0000_i1036" type="#_x0000_t75" style="width:97.15pt;height:19.7pt" o:ole="">
            <v:imagedata r:id="rId28" o:title=""/>
          </v:shape>
          <o:OLEObject Type="Embed" ProgID="Equation.3" ShapeID="_x0000_i1036" DrawAspect="Content" ObjectID="_1615403156" r:id="rId29"/>
        </w:object>
      </w:r>
      <w:r>
        <w:rPr>
          <w:rFonts w:hint="eastAsia"/>
          <w:sz w:val="21"/>
        </w:rPr>
        <w:t>.  For example, consider the case where the number of 2-step RACH preambles is 64 and the number of DMRS ports supported is 12. To ensure 1 to 1 mapping, one feasible solution coul</w:t>
      </w:r>
      <w:r>
        <w:rPr>
          <w:rFonts w:hint="eastAsia"/>
          <w:sz w:val="21"/>
        </w:rPr>
        <w:t>d be to allocate 6 PUSCH occasions. Five of all the PUSCH occasions support 12 DMRS ports while the remaining one support 4 DMRS ports. 1 to 1 mapping is therefore achieved.</w:t>
      </w:r>
    </w:p>
    <w:p w:rsidR="0050330A" w:rsidRDefault="0050330A">
      <w:pPr>
        <w:rPr>
          <w:sz w:val="21"/>
        </w:rPr>
      </w:pPr>
    </w:p>
    <w:p w:rsidR="0050330A" w:rsidRDefault="00CA12B0">
      <w:pPr>
        <w:rPr>
          <w:sz w:val="21"/>
        </w:rPr>
      </w:pPr>
      <w:r>
        <w:rPr>
          <w:rFonts w:hint="eastAsia"/>
          <w:sz w:val="21"/>
        </w:rPr>
        <w:t>Unlike the previous pure 1 to 1 mapping solution, another solution may be to esta</w:t>
      </w:r>
      <w:r>
        <w:rPr>
          <w:rFonts w:hint="eastAsia"/>
          <w:sz w:val="21"/>
        </w:rPr>
        <w:t>blish a mapping relationship between the remaining 4 preambles and the 12 DMRS ports of the remaining PUSCH occasion. 1 to multi mapping is therefore employed for this particular PUSCH occasion. Due to the 1 to multi mapping, the BS needs to blind decode t</w:t>
      </w:r>
      <w:r>
        <w:rPr>
          <w:rFonts w:hint="eastAsia"/>
          <w:sz w:val="21"/>
        </w:rPr>
        <w:t>he payload part with the channel estimated by the 3 potential DMRS ports with the detection of a preamble. In this case, the collision probability of the third PUSCH occasion is reduced to</w:t>
      </w:r>
    </w:p>
    <w:p w:rsidR="0050330A" w:rsidRDefault="00CA12B0">
      <w:pPr>
        <w:jc w:val="center"/>
        <w:rPr>
          <w:sz w:val="21"/>
        </w:rPr>
      </w:pPr>
      <w:r>
        <w:rPr>
          <w:position w:val="-14"/>
          <w:sz w:val="21"/>
        </w:rPr>
        <w:object w:dxaOrig="2323" w:dyaOrig="394">
          <v:shape id="_x0000_i1037" type="#_x0000_t75" style="width:116.15pt;height:19.7pt" o:ole="">
            <v:imagedata r:id="rId30" o:title=""/>
          </v:shape>
          <o:OLEObject Type="Embed" ProgID="Equation.3" ShapeID="_x0000_i1037" DrawAspect="Content" ObjectID="_1615403157" r:id="rId31"/>
        </w:object>
      </w:r>
    </w:p>
    <w:p w:rsidR="0050330A" w:rsidRDefault="00CA12B0">
      <w:pPr>
        <w:rPr>
          <w:sz w:val="21"/>
        </w:rPr>
      </w:pPr>
      <w:r>
        <w:rPr>
          <w:rFonts w:hint="eastAsia"/>
          <w:sz w:val="21"/>
        </w:rPr>
        <w:t>Considering the collision probability for th</w:t>
      </w:r>
      <w:r>
        <w:rPr>
          <w:rFonts w:hint="eastAsia"/>
          <w:sz w:val="21"/>
        </w:rPr>
        <w:t>e other PUSCH occasions remains unchanged. The overall collision probability for this case doesn</w:t>
      </w:r>
      <w:r>
        <w:rPr>
          <w:sz w:val="21"/>
        </w:rPr>
        <w:t>’</w:t>
      </w:r>
      <w:r>
        <w:rPr>
          <w:rFonts w:hint="eastAsia"/>
          <w:sz w:val="21"/>
        </w:rPr>
        <w:t>t decrease much. The blind detection efforts may be non-neglig</w:t>
      </w:r>
      <w:r>
        <w:rPr>
          <w:sz w:val="21"/>
        </w:rPr>
        <w:t>i</w:t>
      </w:r>
      <w:r>
        <w:rPr>
          <w:rFonts w:hint="eastAsia"/>
          <w:sz w:val="21"/>
        </w:rPr>
        <w:t>ble since 3 times blind detection of DMRS ports on a PUSCH occasion would be performed for the c</w:t>
      </w:r>
      <w:r>
        <w:rPr>
          <w:rFonts w:hint="eastAsia"/>
          <w:sz w:val="21"/>
        </w:rPr>
        <w:t>ase where DMRS is needed for channel estimation.</w:t>
      </w:r>
    </w:p>
    <w:p w:rsidR="0050330A" w:rsidRDefault="00CA12B0">
      <w:pPr>
        <w:rPr>
          <w:sz w:val="21"/>
        </w:rPr>
      </w:pPr>
      <w:r>
        <w:rPr>
          <w:rFonts w:hint="eastAsia"/>
          <w:sz w:val="21"/>
        </w:rPr>
        <w:t xml:space="preserve"> </w:t>
      </w:r>
    </w:p>
    <w:p w:rsidR="0050330A" w:rsidRDefault="00CA12B0">
      <w:pPr>
        <w:rPr>
          <w:sz w:val="21"/>
        </w:rPr>
      </w:pPr>
      <w:r>
        <w:rPr>
          <w:rFonts w:hint="eastAsia"/>
          <w:sz w:val="21"/>
        </w:rPr>
        <w:t>A third solution may also be feasible by allocating fewer than 6(e.g. 1</w:t>
      </w:r>
      <w:proofErr w:type="gramStart"/>
      <w:r>
        <w:rPr>
          <w:rFonts w:hint="eastAsia"/>
          <w:sz w:val="21"/>
        </w:rPr>
        <w:t>,2,4</w:t>
      </w:r>
      <w:proofErr w:type="gramEnd"/>
      <w:r>
        <w:rPr>
          <w:rFonts w:hint="eastAsia"/>
          <w:sz w:val="21"/>
        </w:rPr>
        <w:t xml:space="preserve">) PUSCH occasions. Detailed mapping relationship is listed in the following table </w:t>
      </w:r>
    </w:p>
    <w:p w:rsidR="0050330A" w:rsidRDefault="00CA12B0">
      <w:pPr>
        <w:pStyle w:val="Caption"/>
        <w:jc w:val="center"/>
        <w:rPr>
          <w:lang w:val="en-US" w:eastAsia="zh-CN"/>
        </w:rPr>
      </w:pPr>
      <w:r>
        <w:t xml:space="preserve">Table </w:t>
      </w:r>
      <w:r>
        <w:fldChar w:fldCharType="begin"/>
      </w:r>
      <w:r>
        <w:instrText xml:space="preserve"> SEQ Table \* ARABIC </w:instrText>
      </w:r>
      <w:r>
        <w:fldChar w:fldCharType="separate"/>
      </w:r>
      <w:r>
        <w:t>1</w:t>
      </w:r>
      <w:r>
        <w:fldChar w:fldCharType="end"/>
      </w:r>
      <w:r>
        <w:rPr>
          <w:rFonts w:hint="eastAsia"/>
          <w:lang w:val="en-US" w:eastAsia="zh-CN"/>
        </w:rPr>
        <w:t xml:space="preserve"> Mapping Relatio</w:t>
      </w:r>
      <w:r>
        <w:rPr>
          <w:rFonts w:hint="eastAsia"/>
          <w:lang w:val="en-US" w:eastAsia="zh-CN"/>
        </w:rPr>
        <w:t>nship Demonstration</w:t>
      </w: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1"/>
        <w:gridCol w:w="4621"/>
      </w:tblGrid>
      <w:tr w:rsidR="0050330A">
        <w:tc>
          <w:tcPr>
            <w:tcW w:w="4621" w:type="dxa"/>
          </w:tcPr>
          <w:p w:rsidR="0050330A" w:rsidRDefault="00CA12B0">
            <w:pPr>
              <w:rPr>
                <w:sz w:val="21"/>
              </w:rPr>
            </w:pPr>
            <w:r>
              <w:rPr>
                <w:rFonts w:hint="eastAsia"/>
                <w:sz w:val="21"/>
              </w:rPr>
              <w:t># of PUSCH occasions</w:t>
            </w:r>
          </w:p>
        </w:tc>
        <w:tc>
          <w:tcPr>
            <w:tcW w:w="4621" w:type="dxa"/>
          </w:tcPr>
          <w:p w:rsidR="0050330A" w:rsidRDefault="00CA12B0">
            <w:pPr>
              <w:rPr>
                <w:sz w:val="21"/>
              </w:rPr>
            </w:pPr>
            <w:r>
              <w:rPr>
                <w:rFonts w:hint="eastAsia"/>
                <w:sz w:val="21"/>
              </w:rPr>
              <w:t xml:space="preserve">Mapping relationship </w:t>
            </w:r>
          </w:p>
        </w:tc>
      </w:tr>
      <w:tr w:rsidR="0050330A">
        <w:tc>
          <w:tcPr>
            <w:tcW w:w="4621" w:type="dxa"/>
          </w:tcPr>
          <w:p w:rsidR="0050330A" w:rsidRDefault="00CA12B0">
            <w:pPr>
              <w:rPr>
                <w:sz w:val="21"/>
              </w:rPr>
            </w:pPr>
            <w:r>
              <w:rPr>
                <w:rFonts w:hint="eastAsia"/>
                <w:sz w:val="21"/>
              </w:rPr>
              <w:t>1</w:t>
            </w:r>
          </w:p>
        </w:tc>
        <w:tc>
          <w:tcPr>
            <w:tcW w:w="4621" w:type="dxa"/>
          </w:tcPr>
          <w:p w:rsidR="0050330A" w:rsidRDefault="00CA12B0">
            <w:pPr>
              <w:rPr>
                <w:sz w:val="21"/>
              </w:rPr>
            </w:pPr>
            <w:r>
              <w:rPr>
                <w:noProof/>
              </w:rPr>
              <w:drawing>
                <wp:inline distT="0" distB="0" distL="114300" distR="114300">
                  <wp:extent cx="2794000" cy="1292860"/>
                  <wp:effectExtent l="0" t="0" r="6350" b="2540"/>
                  <wp:docPr id="2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3"/>
                          <pic:cNvPicPr>
                            <a:picLocks noChangeAspect="1"/>
                          </pic:cNvPicPr>
                        </pic:nvPicPr>
                        <pic:blipFill>
                          <a:blip r:embed="rId32"/>
                          <a:stretch>
                            <a:fillRect/>
                          </a:stretch>
                        </pic:blipFill>
                        <pic:spPr>
                          <a:xfrm>
                            <a:off x="0" y="0"/>
                            <a:ext cx="2794000" cy="1292860"/>
                          </a:xfrm>
                          <a:prstGeom prst="rect">
                            <a:avLst/>
                          </a:prstGeom>
                          <a:noFill/>
                          <a:ln>
                            <a:noFill/>
                          </a:ln>
                        </pic:spPr>
                      </pic:pic>
                    </a:graphicData>
                  </a:graphic>
                </wp:inline>
              </w:drawing>
            </w:r>
          </w:p>
        </w:tc>
      </w:tr>
      <w:tr w:rsidR="0050330A">
        <w:tc>
          <w:tcPr>
            <w:tcW w:w="4621" w:type="dxa"/>
          </w:tcPr>
          <w:p w:rsidR="0050330A" w:rsidRDefault="00CA12B0">
            <w:pPr>
              <w:rPr>
                <w:sz w:val="21"/>
              </w:rPr>
            </w:pPr>
            <w:r>
              <w:rPr>
                <w:rFonts w:hint="eastAsia"/>
                <w:sz w:val="21"/>
              </w:rPr>
              <w:lastRenderedPageBreak/>
              <w:t>2</w:t>
            </w:r>
          </w:p>
        </w:tc>
        <w:tc>
          <w:tcPr>
            <w:tcW w:w="4621" w:type="dxa"/>
          </w:tcPr>
          <w:p w:rsidR="0050330A" w:rsidRDefault="00CA12B0">
            <w:pPr>
              <w:rPr>
                <w:sz w:val="21"/>
              </w:rPr>
            </w:pPr>
            <w:r>
              <w:rPr>
                <w:noProof/>
              </w:rPr>
              <w:drawing>
                <wp:inline distT="0" distB="0" distL="114300" distR="114300">
                  <wp:extent cx="2794635" cy="3740785"/>
                  <wp:effectExtent l="0" t="0" r="5715" b="12065"/>
                  <wp:docPr id="2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2"/>
                          <pic:cNvPicPr>
                            <a:picLocks noChangeAspect="1"/>
                          </pic:cNvPicPr>
                        </pic:nvPicPr>
                        <pic:blipFill>
                          <a:blip r:embed="rId33"/>
                          <a:stretch>
                            <a:fillRect/>
                          </a:stretch>
                        </pic:blipFill>
                        <pic:spPr>
                          <a:xfrm>
                            <a:off x="0" y="0"/>
                            <a:ext cx="2794635" cy="3740785"/>
                          </a:xfrm>
                          <a:prstGeom prst="rect">
                            <a:avLst/>
                          </a:prstGeom>
                          <a:noFill/>
                          <a:ln>
                            <a:noFill/>
                          </a:ln>
                        </pic:spPr>
                      </pic:pic>
                    </a:graphicData>
                  </a:graphic>
                </wp:inline>
              </w:drawing>
            </w:r>
          </w:p>
        </w:tc>
      </w:tr>
      <w:tr w:rsidR="0050330A">
        <w:tc>
          <w:tcPr>
            <w:tcW w:w="4621" w:type="dxa"/>
          </w:tcPr>
          <w:p w:rsidR="0050330A" w:rsidRDefault="00CA12B0">
            <w:pPr>
              <w:rPr>
                <w:sz w:val="21"/>
              </w:rPr>
            </w:pPr>
            <w:r>
              <w:rPr>
                <w:rFonts w:hint="eastAsia"/>
                <w:sz w:val="21"/>
              </w:rPr>
              <w:t>4</w:t>
            </w:r>
          </w:p>
        </w:tc>
        <w:tc>
          <w:tcPr>
            <w:tcW w:w="4621" w:type="dxa"/>
          </w:tcPr>
          <w:p w:rsidR="0050330A" w:rsidRDefault="00CA12B0">
            <w:pPr>
              <w:rPr>
                <w:sz w:val="21"/>
              </w:rPr>
            </w:pPr>
            <w:r>
              <w:rPr>
                <w:noProof/>
              </w:rPr>
              <w:drawing>
                <wp:inline distT="0" distB="0" distL="114300" distR="114300">
                  <wp:extent cx="2794635" cy="3740785"/>
                  <wp:effectExtent l="0" t="0" r="5715" b="12065"/>
                  <wp:docPr id="1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8"/>
                          <pic:cNvPicPr>
                            <a:picLocks noChangeAspect="1"/>
                          </pic:cNvPicPr>
                        </pic:nvPicPr>
                        <pic:blipFill>
                          <a:blip r:embed="rId34"/>
                          <a:stretch>
                            <a:fillRect/>
                          </a:stretch>
                        </pic:blipFill>
                        <pic:spPr>
                          <a:xfrm>
                            <a:off x="0" y="0"/>
                            <a:ext cx="2794635" cy="3740785"/>
                          </a:xfrm>
                          <a:prstGeom prst="rect">
                            <a:avLst/>
                          </a:prstGeom>
                          <a:noFill/>
                          <a:ln>
                            <a:noFill/>
                          </a:ln>
                        </pic:spPr>
                      </pic:pic>
                    </a:graphicData>
                  </a:graphic>
                </wp:inline>
              </w:drawing>
            </w:r>
          </w:p>
        </w:tc>
      </w:tr>
      <w:tr w:rsidR="0050330A">
        <w:tc>
          <w:tcPr>
            <w:tcW w:w="4621" w:type="dxa"/>
          </w:tcPr>
          <w:p w:rsidR="0050330A" w:rsidRDefault="00CA12B0">
            <w:pPr>
              <w:rPr>
                <w:sz w:val="21"/>
              </w:rPr>
            </w:pPr>
            <w:r>
              <w:rPr>
                <w:rFonts w:hint="eastAsia"/>
                <w:sz w:val="21"/>
              </w:rPr>
              <w:lastRenderedPageBreak/>
              <w:t>6</w:t>
            </w:r>
          </w:p>
        </w:tc>
        <w:tc>
          <w:tcPr>
            <w:tcW w:w="4621" w:type="dxa"/>
          </w:tcPr>
          <w:p w:rsidR="0050330A" w:rsidRDefault="00CA12B0">
            <w:r>
              <w:rPr>
                <w:noProof/>
              </w:rPr>
              <w:drawing>
                <wp:inline distT="0" distB="0" distL="114300" distR="114300">
                  <wp:extent cx="2794635" cy="5574030"/>
                  <wp:effectExtent l="0" t="0" r="5715" b="7620"/>
                  <wp:docPr id="2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1"/>
                          <pic:cNvPicPr>
                            <a:picLocks noChangeAspect="1"/>
                          </pic:cNvPicPr>
                        </pic:nvPicPr>
                        <pic:blipFill>
                          <a:blip r:embed="rId35"/>
                          <a:stretch>
                            <a:fillRect/>
                          </a:stretch>
                        </pic:blipFill>
                        <pic:spPr>
                          <a:xfrm>
                            <a:off x="0" y="0"/>
                            <a:ext cx="2794635" cy="5574030"/>
                          </a:xfrm>
                          <a:prstGeom prst="rect">
                            <a:avLst/>
                          </a:prstGeom>
                          <a:noFill/>
                          <a:ln>
                            <a:noFill/>
                          </a:ln>
                        </pic:spPr>
                      </pic:pic>
                    </a:graphicData>
                  </a:graphic>
                </wp:inline>
              </w:drawing>
            </w:r>
          </w:p>
        </w:tc>
      </w:tr>
    </w:tbl>
    <w:p w:rsidR="0050330A" w:rsidRDefault="0050330A">
      <w:pPr>
        <w:rPr>
          <w:sz w:val="21"/>
        </w:rPr>
      </w:pPr>
    </w:p>
    <w:p w:rsidR="0050330A" w:rsidRDefault="00CA12B0">
      <w:r>
        <w:rPr>
          <w:rFonts w:hint="eastAsia"/>
        </w:rPr>
        <w:t xml:space="preserve">Consider the case where all the preambles for 2-step RACH are mapped to 1 PUSCH occasion and a 1% PRACH collision </w:t>
      </w:r>
      <w:proofErr w:type="gramStart"/>
      <w:r>
        <w:rPr>
          <w:rFonts w:hint="eastAsia"/>
        </w:rPr>
        <w:t xml:space="preserve">probability </w:t>
      </w:r>
      <w:proofErr w:type="gramEnd"/>
      <w:r>
        <w:rPr>
          <w:noProof/>
        </w:rPr>
        <w:drawing>
          <wp:inline distT="0" distB="0" distL="114300" distR="114300">
            <wp:extent cx="409575" cy="238125"/>
            <wp:effectExtent l="0" t="0" r="9525" b="7620"/>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pic:cNvPicPr>
                  </pic:nvPicPr>
                  <pic:blipFill>
                    <a:blip r:embed="rId36"/>
                    <a:stretch>
                      <a:fillRect/>
                    </a:stretch>
                  </pic:blipFill>
                  <pic:spPr>
                    <a:xfrm>
                      <a:off x="0" y="0"/>
                      <a:ext cx="409575" cy="238125"/>
                    </a:xfrm>
                    <a:prstGeom prst="rect">
                      <a:avLst/>
                    </a:prstGeom>
                    <a:noFill/>
                    <a:ln>
                      <a:noFill/>
                    </a:ln>
                  </pic:spPr>
                </pic:pic>
              </a:graphicData>
            </a:graphic>
          </wp:inline>
        </w:drawing>
      </w:r>
      <w:r>
        <w:rPr>
          <w:rFonts w:hint="eastAsia"/>
        </w:rPr>
        <w:t xml:space="preserve">. Then the following constraint on </w:t>
      </w:r>
      <w:r>
        <w:rPr>
          <w:rFonts w:hint="eastAsia"/>
          <w:position w:val="-10"/>
        </w:rPr>
        <w:object w:dxaOrig="462" w:dyaOrig="340">
          <v:shape id="_x0000_i1038" type="#_x0000_t75" style="width:23.1pt;height:17pt" o:ole="">
            <v:imagedata r:id="rId37" o:title=""/>
          </v:shape>
          <o:OLEObject Type="Embed" ProgID="Equation.3" ShapeID="_x0000_i1038" DrawAspect="Content" ObjectID="_1615403158" r:id="rId38"/>
        </w:object>
      </w:r>
      <w:r>
        <w:rPr>
          <w:rFonts w:hint="eastAsia"/>
        </w:rPr>
        <w:t xml:space="preserve">holds.  </w:t>
      </w:r>
    </w:p>
    <w:p w:rsidR="0050330A" w:rsidRDefault="00CA12B0">
      <w:pPr>
        <w:jc w:val="center"/>
      </w:pPr>
      <w:r>
        <w:rPr>
          <w:position w:val="-10"/>
        </w:rPr>
        <w:object w:dxaOrig="1277" w:dyaOrig="367">
          <v:shape id="_x0000_i1039" type="#_x0000_t75" style="width:63.85pt;height:18.35pt" o:ole="">
            <v:imagedata r:id="rId39" o:title=""/>
          </v:shape>
          <o:OLEObject Type="Embed" ProgID="Equation.3" ShapeID="_x0000_i1039" DrawAspect="Content" ObjectID="_1615403159" r:id="rId40"/>
        </w:object>
      </w:r>
    </w:p>
    <w:p w:rsidR="0050330A" w:rsidRDefault="00CA12B0">
      <w:pPr>
        <w:rPr>
          <w:bCs/>
          <w:iCs/>
          <w:sz w:val="22"/>
        </w:rPr>
      </w:pPr>
      <w:r>
        <w:rPr>
          <w:rFonts w:hint="eastAsia"/>
          <w:bCs/>
          <w:iCs/>
          <w:sz w:val="22"/>
        </w:rPr>
        <w:t xml:space="preserve">The traffic arrival rate </w:t>
      </w:r>
      <w:r>
        <w:rPr>
          <w:rFonts w:hint="eastAsia"/>
          <w:bCs/>
          <w:iCs/>
          <w:position w:val="-10"/>
          <w:sz w:val="22"/>
        </w:rPr>
        <w:object w:dxaOrig="204" w:dyaOrig="258">
          <v:shape id="_x0000_i1040" type="#_x0000_t75" style="width:10.2pt;height:12.9pt" o:ole="">
            <v:imagedata r:id="rId41" o:title=""/>
          </v:shape>
          <o:OLEObject Type="Embed" ProgID="Equation.3" ShapeID="_x0000_i1040" DrawAspect="Content" ObjectID="_1615403160" r:id="rId42"/>
        </w:object>
      </w:r>
      <w:r>
        <w:rPr>
          <w:rFonts w:hint="eastAsia"/>
          <w:bCs/>
          <w:iCs/>
          <w:sz w:val="22"/>
        </w:rPr>
        <w:t xml:space="preserve"> would reach  </w:t>
      </w:r>
      <w:r>
        <w:rPr>
          <w:rFonts w:hint="eastAsia"/>
          <w:bCs/>
          <w:iCs/>
          <w:position w:val="-10"/>
          <w:sz w:val="22"/>
        </w:rPr>
        <w:object w:dxaOrig="856" w:dyaOrig="326">
          <v:shape id="_x0000_i1041" type="#_x0000_t75" style="width:42.8pt;height:16.3pt" o:ole="">
            <v:imagedata r:id="rId43" o:title=""/>
          </v:shape>
          <o:OLEObject Type="Embed" ProgID="Equation.3" ShapeID="_x0000_i1041" DrawAspect="Content" ObjectID="_1615403161" r:id="rId44"/>
        </w:object>
      </w:r>
      <w:r>
        <w:rPr>
          <w:rFonts w:hint="eastAsia"/>
          <w:bCs/>
          <w:iCs/>
          <w:sz w:val="22"/>
        </w:rPr>
        <w:t xml:space="preserve"> </w:t>
      </w:r>
      <w:proofErr w:type="gramStart"/>
      <w:r>
        <w:rPr>
          <w:rFonts w:hint="eastAsia"/>
          <w:bCs/>
          <w:iCs/>
          <w:sz w:val="22"/>
        </w:rPr>
        <w:t xml:space="preserve">when </w:t>
      </w:r>
      <w:proofErr w:type="gramEnd"/>
      <w:r>
        <w:rPr>
          <w:rFonts w:hint="eastAsia"/>
          <w:bCs/>
          <w:iCs/>
          <w:position w:val="-6"/>
          <w:sz w:val="22"/>
        </w:rPr>
        <w:object w:dxaOrig="706" w:dyaOrig="285">
          <v:shape id="_x0000_i1042" type="#_x0000_t75" style="width:35.3pt;height:14.25pt" o:ole="">
            <v:imagedata r:id="rId45" o:title=""/>
          </v:shape>
          <o:OLEObject Type="Embed" ProgID="Equation.3" ShapeID="_x0000_i1042" DrawAspect="Content" ObjectID="_1615403162" r:id="rId46"/>
        </w:object>
      </w:r>
      <w:r>
        <w:rPr>
          <w:rFonts w:hint="eastAsia"/>
          <w:bCs/>
          <w:iCs/>
          <w:sz w:val="22"/>
        </w:rPr>
        <w:t>, with which potential maximum PUSCH collision probability on a PUSCH occasion could be deri</w:t>
      </w:r>
      <w:r>
        <w:rPr>
          <w:rFonts w:hint="eastAsia"/>
          <w:bCs/>
          <w:iCs/>
          <w:sz w:val="22"/>
        </w:rPr>
        <w:t>ved as follows,</w:t>
      </w:r>
    </w:p>
    <w:p w:rsidR="0050330A" w:rsidRDefault="00CA12B0">
      <w:pPr>
        <w:jc w:val="center"/>
        <w:rPr>
          <w:position w:val="-14"/>
          <w:sz w:val="21"/>
        </w:rPr>
      </w:pPr>
      <w:r>
        <w:rPr>
          <w:position w:val="-14"/>
          <w:sz w:val="21"/>
        </w:rPr>
        <w:object w:dxaOrig="3641" w:dyaOrig="421">
          <v:shape id="_x0000_i1043" type="#_x0000_t75" style="width:182.05pt;height:21.05pt" o:ole="">
            <v:imagedata r:id="rId47" o:title=""/>
          </v:shape>
          <o:OLEObject Type="Embed" ProgID="Equation.3" ShapeID="_x0000_i1043" DrawAspect="Content" ObjectID="_1615403163" r:id="rId48"/>
        </w:object>
      </w:r>
    </w:p>
    <w:p w:rsidR="0050330A" w:rsidRDefault="00CA12B0">
      <w:pPr>
        <w:rPr>
          <w:bCs/>
          <w:iCs/>
          <w:sz w:val="22"/>
        </w:rPr>
      </w:pPr>
      <w:r>
        <w:rPr>
          <w:bCs/>
          <w:iCs/>
          <w:sz w:val="22"/>
        </w:rPr>
        <w:t xml:space="preserve">Similar calculations could be done for all the mapping methodology listed in Table 1 where for # of PUSCH occasions belongs to{1,2,4}, multi-to 1 </w:t>
      </w:r>
      <w:r>
        <w:rPr>
          <w:rFonts w:hint="eastAsia"/>
          <w:bCs/>
          <w:iCs/>
          <w:sz w:val="22"/>
        </w:rPr>
        <w:t>mapping is assumed and for # of PUSCH occasion = 6, 1 to 1 mapping is a</w:t>
      </w:r>
      <w:r>
        <w:rPr>
          <w:rFonts w:hint="eastAsia"/>
          <w:bCs/>
          <w:iCs/>
          <w:sz w:val="22"/>
        </w:rPr>
        <w:t>ssumed.</w:t>
      </w:r>
    </w:p>
    <w:p w:rsidR="0050330A" w:rsidRDefault="00CA12B0">
      <w:pPr>
        <w:pStyle w:val="Caption"/>
        <w:jc w:val="center"/>
        <w:rPr>
          <w:lang w:val="en-US" w:eastAsia="zh-CN"/>
        </w:rPr>
      </w:pPr>
      <w:r>
        <w:lastRenderedPageBreak/>
        <w:t xml:space="preserve">Table </w:t>
      </w:r>
      <w:r>
        <w:fldChar w:fldCharType="begin"/>
      </w:r>
      <w:r>
        <w:instrText xml:space="preserve"> SEQ Table \* ARABIC </w:instrText>
      </w:r>
      <w:r>
        <w:fldChar w:fldCharType="separate"/>
      </w:r>
      <w:r>
        <w:t>2</w:t>
      </w:r>
      <w:r>
        <w:fldChar w:fldCharType="end"/>
      </w:r>
      <w:r>
        <w:rPr>
          <w:rFonts w:hint="eastAsia"/>
          <w:lang w:val="en-US" w:eastAsia="zh-CN"/>
        </w:rPr>
        <w:t xml:space="preserve"> Numerical estimation of PUSCH collision probability</w:t>
      </w: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1"/>
        <w:gridCol w:w="4621"/>
      </w:tblGrid>
      <w:tr w:rsidR="0050330A">
        <w:tc>
          <w:tcPr>
            <w:tcW w:w="4621" w:type="dxa"/>
          </w:tcPr>
          <w:p w:rsidR="0050330A" w:rsidRDefault="00CA12B0">
            <w:pPr>
              <w:jc w:val="center"/>
              <w:rPr>
                <w:position w:val="-14"/>
                <w:sz w:val="21"/>
              </w:rPr>
            </w:pPr>
            <w:r>
              <w:rPr>
                <w:rFonts w:hint="eastAsia"/>
                <w:position w:val="-14"/>
                <w:sz w:val="21"/>
              </w:rPr>
              <w:t># of PUSCH occasions</w:t>
            </w:r>
          </w:p>
        </w:tc>
        <w:tc>
          <w:tcPr>
            <w:tcW w:w="4621" w:type="dxa"/>
          </w:tcPr>
          <w:p w:rsidR="0050330A" w:rsidRDefault="00CA12B0">
            <w:pPr>
              <w:jc w:val="center"/>
              <w:rPr>
                <w:position w:val="-14"/>
                <w:sz w:val="21"/>
              </w:rPr>
            </w:pPr>
            <w:r>
              <w:rPr>
                <w:rFonts w:hint="eastAsia"/>
                <w:position w:val="-14"/>
                <w:sz w:val="21"/>
              </w:rPr>
              <w:t>PUSCH collision probability</w:t>
            </w:r>
          </w:p>
        </w:tc>
      </w:tr>
      <w:tr w:rsidR="0050330A">
        <w:tc>
          <w:tcPr>
            <w:tcW w:w="4621" w:type="dxa"/>
          </w:tcPr>
          <w:p w:rsidR="0050330A" w:rsidRDefault="00CA12B0">
            <w:pPr>
              <w:jc w:val="center"/>
              <w:rPr>
                <w:position w:val="-14"/>
                <w:sz w:val="21"/>
              </w:rPr>
            </w:pPr>
            <w:r>
              <w:rPr>
                <w:rFonts w:hint="eastAsia"/>
                <w:position w:val="-14"/>
                <w:sz w:val="21"/>
              </w:rPr>
              <w:t>1</w:t>
            </w:r>
          </w:p>
        </w:tc>
        <w:tc>
          <w:tcPr>
            <w:tcW w:w="4621" w:type="dxa"/>
          </w:tcPr>
          <w:p w:rsidR="0050330A" w:rsidRDefault="00CA12B0">
            <w:pPr>
              <w:jc w:val="center"/>
              <w:rPr>
                <w:position w:val="-14"/>
                <w:sz w:val="21"/>
              </w:rPr>
            </w:pPr>
            <w:r>
              <w:rPr>
                <w:rFonts w:hint="eastAsia"/>
                <w:position w:val="-14"/>
                <w:sz w:val="21"/>
              </w:rPr>
              <w:t>0.0519</w:t>
            </w:r>
          </w:p>
        </w:tc>
      </w:tr>
      <w:tr w:rsidR="0050330A">
        <w:tc>
          <w:tcPr>
            <w:tcW w:w="4621" w:type="dxa"/>
          </w:tcPr>
          <w:p w:rsidR="0050330A" w:rsidRDefault="00CA12B0">
            <w:pPr>
              <w:jc w:val="center"/>
              <w:rPr>
                <w:position w:val="-14"/>
                <w:sz w:val="21"/>
              </w:rPr>
            </w:pPr>
            <w:r>
              <w:rPr>
                <w:rFonts w:hint="eastAsia"/>
                <w:position w:val="-14"/>
                <w:sz w:val="21"/>
              </w:rPr>
              <w:t>2</w:t>
            </w:r>
          </w:p>
        </w:tc>
        <w:tc>
          <w:tcPr>
            <w:tcW w:w="4621" w:type="dxa"/>
          </w:tcPr>
          <w:p w:rsidR="0050330A" w:rsidRDefault="00CA12B0">
            <w:pPr>
              <w:jc w:val="center"/>
              <w:rPr>
                <w:position w:val="-14"/>
                <w:sz w:val="21"/>
              </w:rPr>
            </w:pPr>
            <w:r>
              <w:rPr>
                <w:rFonts w:hint="eastAsia"/>
                <w:position w:val="-14"/>
                <w:sz w:val="21"/>
              </w:rPr>
              <w:t>0.0263</w:t>
            </w:r>
          </w:p>
        </w:tc>
      </w:tr>
      <w:tr w:rsidR="0050330A">
        <w:tc>
          <w:tcPr>
            <w:tcW w:w="4621" w:type="dxa"/>
          </w:tcPr>
          <w:p w:rsidR="0050330A" w:rsidRDefault="00CA12B0">
            <w:pPr>
              <w:jc w:val="center"/>
              <w:rPr>
                <w:position w:val="-14"/>
                <w:sz w:val="21"/>
              </w:rPr>
            </w:pPr>
            <w:r>
              <w:rPr>
                <w:rFonts w:hint="eastAsia"/>
                <w:position w:val="-14"/>
                <w:sz w:val="21"/>
              </w:rPr>
              <w:t>4</w:t>
            </w:r>
          </w:p>
        </w:tc>
        <w:tc>
          <w:tcPr>
            <w:tcW w:w="4621" w:type="dxa"/>
          </w:tcPr>
          <w:p w:rsidR="0050330A" w:rsidRDefault="00CA12B0">
            <w:pPr>
              <w:jc w:val="center"/>
              <w:rPr>
                <w:position w:val="-14"/>
                <w:sz w:val="21"/>
              </w:rPr>
            </w:pPr>
            <w:r>
              <w:rPr>
                <w:rFonts w:hint="eastAsia"/>
                <w:position w:val="-14"/>
                <w:sz w:val="21"/>
              </w:rPr>
              <w:t>0.0132</w:t>
            </w:r>
          </w:p>
        </w:tc>
      </w:tr>
      <w:tr w:rsidR="0050330A">
        <w:tc>
          <w:tcPr>
            <w:tcW w:w="4621" w:type="dxa"/>
          </w:tcPr>
          <w:p w:rsidR="0050330A" w:rsidRDefault="00CA12B0">
            <w:pPr>
              <w:jc w:val="center"/>
              <w:rPr>
                <w:position w:val="-14"/>
                <w:sz w:val="21"/>
              </w:rPr>
            </w:pPr>
            <w:r>
              <w:rPr>
                <w:rFonts w:hint="eastAsia"/>
                <w:position w:val="-14"/>
                <w:sz w:val="21"/>
              </w:rPr>
              <w:t>6</w:t>
            </w:r>
          </w:p>
        </w:tc>
        <w:tc>
          <w:tcPr>
            <w:tcW w:w="4621" w:type="dxa"/>
          </w:tcPr>
          <w:p w:rsidR="0050330A" w:rsidRDefault="00CA12B0">
            <w:pPr>
              <w:jc w:val="center"/>
              <w:rPr>
                <w:position w:val="-14"/>
                <w:sz w:val="21"/>
              </w:rPr>
            </w:pPr>
            <w:r>
              <w:rPr>
                <w:rFonts w:hint="eastAsia"/>
                <w:position w:val="-14"/>
                <w:sz w:val="21"/>
              </w:rPr>
              <w:t>0.0</w:t>
            </w:r>
            <w:r>
              <w:rPr>
                <w:rFonts w:hint="eastAsia"/>
                <w:position w:val="-14"/>
                <w:sz w:val="21"/>
              </w:rPr>
              <w:t>1</w:t>
            </w:r>
          </w:p>
        </w:tc>
      </w:tr>
    </w:tbl>
    <w:p w:rsidR="0050330A" w:rsidRDefault="0050330A">
      <w:pPr>
        <w:jc w:val="center"/>
        <w:rPr>
          <w:position w:val="-14"/>
          <w:sz w:val="21"/>
        </w:rPr>
      </w:pPr>
    </w:p>
    <w:p w:rsidR="0050330A" w:rsidRDefault="00CA12B0">
      <w:pPr>
        <w:rPr>
          <w:bCs/>
          <w:iCs/>
          <w:sz w:val="22"/>
        </w:rPr>
      </w:pPr>
      <w:r>
        <w:rPr>
          <w:bCs/>
          <w:iCs/>
          <w:sz w:val="22"/>
        </w:rPr>
        <w:t>Usually, t</w:t>
      </w:r>
      <w:r>
        <w:rPr>
          <w:rFonts w:hint="eastAsia"/>
          <w:bCs/>
          <w:iCs/>
          <w:sz w:val="22"/>
        </w:rPr>
        <w:t xml:space="preserve">he PUSCH collision will results in an error floor on the BLER </w:t>
      </w:r>
      <w:r>
        <w:rPr>
          <w:rFonts w:hint="eastAsia"/>
          <w:bCs/>
          <w:iCs/>
          <w:sz w:val="22"/>
        </w:rPr>
        <w:t>performance</w:t>
      </w:r>
      <w:r>
        <w:rPr>
          <w:bCs/>
          <w:iCs/>
          <w:sz w:val="22"/>
        </w:rPr>
        <w:t xml:space="preserve"> and thus it should be avoided as much as possible</w:t>
      </w:r>
      <w:r>
        <w:rPr>
          <w:rFonts w:hint="eastAsia"/>
          <w:bCs/>
          <w:iCs/>
          <w:sz w:val="22"/>
        </w:rPr>
        <w:t>.</w:t>
      </w:r>
      <w:r>
        <w:rPr>
          <w:bCs/>
          <w:iCs/>
          <w:sz w:val="22"/>
        </w:rPr>
        <w:t xml:space="preserve"> However, for the</w:t>
      </w:r>
      <w:r>
        <w:rPr>
          <w:rFonts w:hint="eastAsia"/>
          <w:bCs/>
          <w:iCs/>
          <w:sz w:val="22"/>
        </w:rPr>
        <w:t xml:space="preserve"> case where</w:t>
      </w:r>
      <w:r>
        <w:rPr>
          <w:bCs/>
          <w:iCs/>
          <w:sz w:val="22"/>
        </w:rPr>
        <w:t xml:space="preserve"> UEs perform</w:t>
      </w:r>
      <w:r>
        <w:rPr>
          <w:bCs/>
          <w:iCs/>
          <w:sz w:val="22"/>
        </w:rPr>
        <w:t xml:space="preserve"> random access with various timing offsets,</w:t>
      </w:r>
      <w:r>
        <w:rPr>
          <w:bCs/>
          <w:iCs/>
          <w:sz w:val="22"/>
        </w:rPr>
        <w:t xml:space="preserve"> it is still likely </w:t>
      </w:r>
      <w:r>
        <w:rPr>
          <w:rFonts w:hint="eastAsia"/>
          <w:bCs/>
          <w:iCs/>
          <w:sz w:val="22"/>
        </w:rPr>
        <w:t>that the performance is not severely degraded</w:t>
      </w:r>
      <w:r w:rsidR="00D80AF4">
        <w:rPr>
          <w:bCs/>
          <w:iCs/>
          <w:sz w:val="22"/>
        </w:rPr>
        <w:t xml:space="preserve"> even though they select the same DMRS port and transmit on the same PUSCH occasion,</w:t>
      </w:r>
      <w:r>
        <w:rPr>
          <w:bCs/>
          <w:iCs/>
          <w:sz w:val="22"/>
        </w:rPr>
        <w:t xml:space="preserve"> as shown in Figure 2</w:t>
      </w:r>
      <w:r>
        <w:rPr>
          <w:bCs/>
          <w:iCs/>
          <w:sz w:val="22"/>
        </w:rPr>
        <w:t xml:space="preserve">. Therefore, as long as the collision probability is not high, it may not be necessary to further </w:t>
      </w:r>
      <w:r>
        <w:rPr>
          <w:rFonts w:hint="eastAsia"/>
          <w:bCs/>
          <w:iCs/>
          <w:sz w:val="22"/>
        </w:rPr>
        <w:t xml:space="preserve">address </w:t>
      </w:r>
      <w:r>
        <w:rPr>
          <w:bCs/>
          <w:iCs/>
          <w:sz w:val="22"/>
        </w:rPr>
        <w:t xml:space="preserve">the </w:t>
      </w:r>
      <w:r>
        <w:rPr>
          <w:bCs/>
          <w:iCs/>
          <w:sz w:val="22"/>
        </w:rPr>
        <w:t>collision issues. More detail</w:t>
      </w:r>
      <w:r>
        <w:rPr>
          <w:rFonts w:hint="eastAsia"/>
          <w:bCs/>
          <w:iCs/>
          <w:sz w:val="22"/>
        </w:rPr>
        <w:t>s</w:t>
      </w:r>
      <w:r>
        <w:rPr>
          <w:bCs/>
          <w:iCs/>
          <w:sz w:val="22"/>
        </w:rPr>
        <w:t xml:space="preserve"> can be found in our companion contribution [5].</w:t>
      </w:r>
    </w:p>
    <w:p w:rsidR="0050330A" w:rsidRDefault="00CA12B0">
      <w:pPr>
        <w:jc w:val="center"/>
      </w:pPr>
      <w:r>
        <w:rPr>
          <w:noProof/>
        </w:rPr>
        <w:drawing>
          <wp:inline distT="0" distB="0" distL="114300" distR="114300">
            <wp:extent cx="4387850" cy="3291205"/>
            <wp:effectExtent l="0" t="0" r="12700" b="4445"/>
            <wp:docPr id="4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0"/>
                    <pic:cNvPicPr>
                      <a:picLocks noChangeAspect="1"/>
                    </pic:cNvPicPr>
                  </pic:nvPicPr>
                  <pic:blipFill>
                    <a:blip r:embed="rId49"/>
                    <a:stretch>
                      <a:fillRect/>
                    </a:stretch>
                  </pic:blipFill>
                  <pic:spPr>
                    <a:xfrm>
                      <a:off x="0" y="0"/>
                      <a:ext cx="4387850" cy="3291205"/>
                    </a:xfrm>
                    <a:prstGeom prst="rect">
                      <a:avLst/>
                    </a:prstGeom>
                    <a:noFill/>
                    <a:ln>
                      <a:noFill/>
                    </a:ln>
                  </pic:spPr>
                </pic:pic>
              </a:graphicData>
            </a:graphic>
          </wp:inline>
        </w:drawing>
      </w:r>
    </w:p>
    <w:p w:rsidR="0050330A" w:rsidRDefault="00CA12B0">
      <w:pPr>
        <w:jc w:val="center"/>
      </w:pPr>
      <w:r>
        <w:rPr>
          <w:rFonts w:hint="eastAsia"/>
        </w:rPr>
        <w:t xml:space="preserve">Figure </w:t>
      </w:r>
      <w:r>
        <w:t>2</w:t>
      </w:r>
      <w:r>
        <w:rPr>
          <w:rFonts w:hint="eastAsia"/>
        </w:rPr>
        <w:t xml:space="preserve"> BLER vs. SNR for 2UEs with </w:t>
      </w:r>
      <w:r w:rsidR="00C50E13">
        <w:t xml:space="preserve">PUSCH and </w:t>
      </w:r>
      <w:r>
        <w:rPr>
          <w:rFonts w:hint="eastAsia"/>
        </w:rPr>
        <w:t>DMRS collision</w:t>
      </w:r>
    </w:p>
    <w:p w:rsidR="0050330A" w:rsidRDefault="0050330A">
      <w:pPr>
        <w:rPr>
          <w:bCs/>
          <w:iCs/>
          <w:sz w:val="22"/>
        </w:rPr>
      </w:pPr>
    </w:p>
    <w:p w:rsidR="0050330A" w:rsidRDefault="00CA12B0">
      <w:pPr>
        <w:rPr>
          <w:rFonts w:eastAsia="Times New Roman"/>
          <w:b/>
          <w:i/>
          <w:sz w:val="22"/>
        </w:rPr>
      </w:pPr>
      <w:r>
        <w:rPr>
          <w:rFonts w:eastAsia="Times New Roman" w:hint="eastAsia"/>
          <w:b/>
          <w:i/>
          <w:sz w:val="22"/>
        </w:rPr>
        <w:t xml:space="preserve">Observation 3: 1 to 1 mapping could </w:t>
      </w:r>
      <w:r>
        <w:rPr>
          <w:rFonts w:eastAsia="Times New Roman"/>
          <w:b/>
          <w:i/>
          <w:sz w:val="22"/>
        </w:rPr>
        <w:t>minimize the</w:t>
      </w:r>
      <w:r>
        <w:rPr>
          <w:rFonts w:eastAsia="Times New Roman" w:hint="eastAsia"/>
          <w:b/>
          <w:i/>
          <w:sz w:val="22"/>
        </w:rPr>
        <w:t xml:space="preserve"> PUSCH collision probability</w:t>
      </w:r>
      <w:r>
        <w:rPr>
          <w:rFonts w:eastAsia="Times New Roman"/>
          <w:b/>
          <w:i/>
          <w:sz w:val="22"/>
        </w:rPr>
        <w:t>, to be</w:t>
      </w:r>
      <w:r>
        <w:rPr>
          <w:rFonts w:eastAsia="Times New Roman" w:hint="eastAsia"/>
          <w:b/>
          <w:i/>
          <w:sz w:val="22"/>
        </w:rPr>
        <w:t xml:space="preserve"> the same as preamble collision probab</w:t>
      </w:r>
      <w:r>
        <w:rPr>
          <w:rFonts w:eastAsia="Times New Roman" w:hint="eastAsia"/>
          <w:b/>
          <w:i/>
          <w:sz w:val="22"/>
        </w:rPr>
        <w:t>ility.</w:t>
      </w:r>
    </w:p>
    <w:p w:rsidR="0050330A" w:rsidRDefault="00CA12B0">
      <w:pPr>
        <w:rPr>
          <w:rFonts w:eastAsia="Times New Roman"/>
          <w:b/>
          <w:i/>
          <w:sz w:val="22"/>
        </w:rPr>
      </w:pPr>
      <w:r>
        <w:rPr>
          <w:rFonts w:eastAsia="Times New Roman"/>
          <w:b/>
          <w:i/>
          <w:sz w:val="22"/>
        </w:rPr>
        <w:t>Observation 4: The performance impact (error floor) due to PUSCH collision needs further stud</w:t>
      </w:r>
      <w:r>
        <w:rPr>
          <w:rFonts w:eastAsia="宋体" w:hint="eastAsia"/>
          <w:b/>
          <w:i/>
          <w:sz w:val="22"/>
        </w:rPr>
        <w:t>y</w:t>
      </w:r>
      <w:r>
        <w:rPr>
          <w:rFonts w:eastAsia="Times New Roman"/>
          <w:b/>
          <w:i/>
          <w:sz w:val="22"/>
        </w:rPr>
        <w:t>.</w:t>
      </w:r>
    </w:p>
    <w:p w:rsidR="0050330A" w:rsidRDefault="0050330A"/>
    <w:p w:rsidR="0050330A" w:rsidRDefault="00CA12B0">
      <w:pPr>
        <w:pStyle w:val="Heading1"/>
        <w:numPr>
          <w:ilvl w:val="0"/>
          <w:numId w:val="28"/>
        </w:numPr>
        <w:ind w:hanging="644"/>
      </w:pPr>
      <w:r>
        <w:rPr>
          <w:rFonts w:hint="eastAsia"/>
          <w:lang w:val="en-US" w:eastAsia="zh-CN"/>
        </w:rPr>
        <w:lastRenderedPageBreak/>
        <w:t>Conclusions</w:t>
      </w:r>
    </w:p>
    <w:p w:rsidR="0050330A" w:rsidRDefault="00CA12B0">
      <w:r>
        <w:rPr>
          <w:rFonts w:hint="eastAsia"/>
        </w:rPr>
        <w:t>Based on the above sections, the following obse</w:t>
      </w:r>
      <w:r>
        <w:t>r</w:t>
      </w:r>
      <w:r>
        <w:rPr>
          <w:rFonts w:hint="eastAsia"/>
        </w:rPr>
        <w:t>vations are made,</w:t>
      </w:r>
    </w:p>
    <w:p w:rsidR="0050330A" w:rsidRDefault="00CA12B0">
      <w:pPr>
        <w:rPr>
          <w:rFonts w:eastAsia="Times New Roman"/>
          <w:b/>
          <w:i/>
          <w:sz w:val="22"/>
        </w:rPr>
      </w:pPr>
      <w:r>
        <w:rPr>
          <w:rFonts w:eastAsia="Times New Roman" w:hint="eastAsia"/>
          <w:b/>
          <w:i/>
          <w:sz w:val="22"/>
        </w:rPr>
        <w:t>Observation 1:</w:t>
      </w:r>
      <w:r>
        <w:rPr>
          <w:rFonts w:hint="eastAsia"/>
        </w:rPr>
        <w:t xml:space="preserve"> </w:t>
      </w:r>
      <w:r>
        <w:rPr>
          <w:rFonts w:eastAsia="Times New Roman" w:hint="eastAsia"/>
          <w:b/>
          <w:i/>
          <w:sz w:val="22"/>
        </w:rPr>
        <w:t xml:space="preserve">For equal partition of preamble group, unequal arrival </w:t>
      </w:r>
      <w:r>
        <w:rPr>
          <w:rFonts w:eastAsia="Times New Roman" w:hint="eastAsia"/>
          <w:b/>
          <w:i/>
          <w:sz w:val="22"/>
        </w:rPr>
        <w:t>rate will lead to collision probability increase for certain group(s) with arrival rate superior to the average whilst collision probability decrease for the groups with arrival rate inferior to the average.</w:t>
      </w:r>
    </w:p>
    <w:p w:rsidR="0050330A" w:rsidRDefault="00CA12B0">
      <w:pPr>
        <w:rPr>
          <w:rFonts w:eastAsia="Times New Roman"/>
          <w:b/>
          <w:i/>
          <w:sz w:val="22"/>
        </w:rPr>
      </w:pPr>
      <w:r>
        <w:rPr>
          <w:rFonts w:eastAsia="Times New Roman" w:hint="eastAsia"/>
          <w:b/>
          <w:i/>
          <w:sz w:val="22"/>
        </w:rPr>
        <w:t>Observation 2: From the collision probability pe</w:t>
      </w:r>
      <w:r>
        <w:rPr>
          <w:rFonts w:eastAsia="Times New Roman" w:hint="eastAsia"/>
          <w:b/>
          <w:i/>
          <w:sz w:val="22"/>
        </w:rPr>
        <w:t xml:space="preserve">rspective, </w:t>
      </w:r>
      <w:r>
        <w:rPr>
          <w:rFonts w:eastAsia="Times New Roman"/>
          <w:b/>
          <w:i/>
          <w:sz w:val="22"/>
        </w:rPr>
        <w:t>sharing RO</w:t>
      </w:r>
      <w:r>
        <w:rPr>
          <w:rFonts w:eastAsia="Times New Roman" w:hint="eastAsia"/>
          <w:b/>
          <w:i/>
          <w:sz w:val="22"/>
        </w:rPr>
        <w:t xml:space="preserve"> between 2-step and 4-step RACH is not preferred.</w:t>
      </w:r>
    </w:p>
    <w:p w:rsidR="0050330A" w:rsidRDefault="00CA12B0">
      <w:pPr>
        <w:rPr>
          <w:rFonts w:eastAsia="Times New Roman"/>
          <w:b/>
          <w:i/>
          <w:sz w:val="22"/>
        </w:rPr>
      </w:pPr>
      <w:r>
        <w:rPr>
          <w:rFonts w:eastAsia="Times New Roman" w:hint="eastAsia"/>
          <w:b/>
          <w:i/>
          <w:sz w:val="22"/>
        </w:rPr>
        <w:t xml:space="preserve">Observation 3: 1 to 1 mapping could </w:t>
      </w:r>
      <w:r>
        <w:rPr>
          <w:rFonts w:eastAsia="Times New Roman"/>
          <w:b/>
          <w:i/>
          <w:sz w:val="22"/>
        </w:rPr>
        <w:t>minimize the</w:t>
      </w:r>
      <w:r>
        <w:rPr>
          <w:rFonts w:eastAsia="Times New Roman" w:hint="eastAsia"/>
          <w:b/>
          <w:i/>
          <w:sz w:val="22"/>
        </w:rPr>
        <w:t xml:space="preserve"> PUSCH collision probability</w:t>
      </w:r>
      <w:r>
        <w:rPr>
          <w:rFonts w:eastAsia="Times New Roman"/>
          <w:b/>
          <w:i/>
          <w:sz w:val="22"/>
        </w:rPr>
        <w:t>,</w:t>
      </w:r>
      <w:r>
        <w:rPr>
          <w:rFonts w:eastAsia="Times New Roman" w:hint="eastAsia"/>
          <w:b/>
          <w:i/>
          <w:sz w:val="22"/>
        </w:rPr>
        <w:t xml:space="preserve"> </w:t>
      </w:r>
      <w:r>
        <w:rPr>
          <w:rFonts w:eastAsia="Times New Roman"/>
          <w:b/>
          <w:i/>
          <w:sz w:val="22"/>
        </w:rPr>
        <w:t>to be the</w:t>
      </w:r>
      <w:r>
        <w:rPr>
          <w:rFonts w:eastAsia="Times New Roman" w:hint="eastAsia"/>
          <w:b/>
          <w:i/>
          <w:sz w:val="22"/>
        </w:rPr>
        <w:t xml:space="preserve"> same as preamble collision probability.</w:t>
      </w:r>
    </w:p>
    <w:p w:rsidR="0050330A" w:rsidRDefault="00CA12B0">
      <w:pPr>
        <w:rPr>
          <w:rFonts w:eastAsia="Times New Roman"/>
          <w:b/>
          <w:i/>
          <w:sz w:val="22"/>
        </w:rPr>
      </w:pPr>
      <w:r>
        <w:rPr>
          <w:rFonts w:eastAsia="Times New Roman"/>
          <w:b/>
          <w:i/>
          <w:sz w:val="22"/>
        </w:rPr>
        <w:t>Observation 4: The performance impact (error floor) due t</w:t>
      </w:r>
      <w:r>
        <w:rPr>
          <w:rFonts w:eastAsia="Times New Roman"/>
          <w:b/>
          <w:i/>
          <w:sz w:val="22"/>
        </w:rPr>
        <w:t>o PUSCH collision needs further stud</w:t>
      </w:r>
      <w:r>
        <w:rPr>
          <w:rFonts w:eastAsia="宋体" w:hint="eastAsia"/>
          <w:b/>
          <w:i/>
          <w:sz w:val="22"/>
        </w:rPr>
        <w:t>y</w:t>
      </w:r>
      <w:r>
        <w:rPr>
          <w:rFonts w:eastAsia="Times New Roman"/>
          <w:b/>
          <w:i/>
          <w:sz w:val="22"/>
        </w:rPr>
        <w:t>.</w:t>
      </w:r>
    </w:p>
    <w:bookmarkEnd w:id="7"/>
    <w:bookmarkEnd w:id="8"/>
    <w:p w:rsidR="0050330A" w:rsidRDefault="0050330A">
      <w:pPr>
        <w:rPr>
          <w:b/>
          <w:i/>
        </w:rPr>
      </w:pPr>
    </w:p>
    <w:p w:rsidR="0050330A" w:rsidRDefault="00CA12B0">
      <w:pPr>
        <w:pStyle w:val="Heading1"/>
        <w:numPr>
          <w:ilvl w:val="0"/>
          <w:numId w:val="28"/>
        </w:numPr>
        <w:ind w:hanging="644"/>
        <w:rPr>
          <w:szCs w:val="22"/>
        </w:rPr>
      </w:pPr>
      <w:r>
        <w:rPr>
          <w:rFonts w:hint="eastAsia"/>
          <w:szCs w:val="22"/>
        </w:rPr>
        <w:t>References</w:t>
      </w:r>
    </w:p>
    <w:p w:rsidR="0050330A" w:rsidRDefault="00CA12B0">
      <w:pPr>
        <w:rPr>
          <w:lang w:val="en-GB" w:eastAsia="en-US"/>
        </w:rPr>
      </w:pPr>
      <w:r>
        <w:rPr>
          <w:rFonts w:hint="eastAsia"/>
          <w:sz w:val="22"/>
        </w:rPr>
        <w:t>[1] R1-1903834,"Email discussion on potential link-level simulation assumption for 2-step RACH</w:t>
      </w:r>
      <w:r>
        <w:rPr>
          <w:sz w:val="22"/>
        </w:rPr>
        <w:t>”</w:t>
      </w:r>
      <w:r>
        <w:rPr>
          <w:rFonts w:hint="eastAsia"/>
          <w:sz w:val="22"/>
        </w:rPr>
        <w:t>, RAN1#96, ZTE, Athens, Greece, Feb. 25-Mar. 1, 2019.</w:t>
      </w:r>
    </w:p>
    <w:p w:rsidR="0050330A" w:rsidRDefault="00CA12B0">
      <w:pPr>
        <w:pStyle w:val="ListParagraph"/>
        <w:ind w:firstLineChars="0" w:firstLine="0"/>
        <w:jc w:val="both"/>
        <w:rPr>
          <w:sz w:val="22"/>
        </w:rPr>
      </w:pPr>
      <w:r>
        <w:rPr>
          <w:rFonts w:hint="eastAsia"/>
          <w:sz w:val="22"/>
        </w:rPr>
        <w:t xml:space="preserve">[2] TR 37.868 v11.0.0 Study on RAN Improvements for </w:t>
      </w:r>
      <w:r>
        <w:rPr>
          <w:rFonts w:hint="eastAsia"/>
          <w:sz w:val="22"/>
        </w:rPr>
        <w:t>Machine-type Communications Annex B 3</w:t>
      </w:r>
    </w:p>
    <w:p w:rsidR="0050330A" w:rsidRDefault="00CA12B0">
      <w:pPr>
        <w:pStyle w:val="ListParagraph"/>
        <w:ind w:firstLineChars="0" w:firstLine="0"/>
        <w:jc w:val="both"/>
        <w:rPr>
          <w:sz w:val="22"/>
        </w:rPr>
      </w:pPr>
      <w:r>
        <w:rPr>
          <w:rFonts w:hint="eastAsia"/>
          <w:sz w:val="22"/>
        </w:rPr>
        <w:t>[3] RP-182894, New work item: 2-step RACH for NR, ZTE Corporation</w:t>
      </w:r>
    </w:p>
    <w:p w:rsidR="0050330A" w:rsidRDefault="00CA12B0">
      <w:pPr>
        <w:rPr>
          <w:lang w:val="en-GB" w:eastAsia="en-US"/>
        </w:rPr>
      </w:pPr>
      <w:r>
        <w:rPr>
          <w:rFonts w:hint="eastAsia"/>
          <w:sz w:val="22"/>
        </w:rPr>
        <w:t>[4] R1-1903881,"Preliminary evaluation results for 2-step RACH</w:t>
      </w:r>
      <w:r>
        <w:rPr>
          <w:sz w:val="22"/>
        </w:rPr>
        <w:t>”</w:t>
      </w:r>
      <w:r>
        <w:rPr>
          <w:rFonts w:hint="eastAsia"/>
          <w:sz w:val="22"/>
        </w:rPr>
        <w:t>, RAN1#96, ZTE, Xi</w:t>
      </w:r>
      <w:r>
        <w:rPr>
          <w:sz w:val="22"/>
        </w:rPr>
        <w:t>’</w:t>
      </w:r>
      <w:r>
        <w:rPr>
          <w:rFonts w:hint="eastAsia"/>
          <w:sz w:val="22"/>
        </w:rPr>
        <w:t>an, China, April.8-April.12, 2019.</w:t>
      </w:r>
    </w:p>
    <w:p w:rsidR="0050330A" w:rsidRDefault="00CA12B0">
      <w:pPr>
        <w:pStyle w:val="ListParagraph"/>
        <w:ind w:firstLineChars="0" w:firstLine="0"/>
        <w:jc w:val="both"/>
        <w:rPr>
          <w:sz w:val="22"/>
        </w:rPr>
      </w:pPr>
      <w:r>
        <w:rPr>
          <w:rFonts w:hint="eastAsia"/>
          <w:sz w:val="22"/>
        </w:rPr>
        <w:t xml:space="preserve">[5] R. Cheng, C. Wei, S. </w:t>
      </w:r>
      <w:proofErr w:type="spellStart"/>
      <w:r>
        <w:rPr>
          <w:rFonts w:hint="eastAsia"/>
          <w:sz w:val="22"/>
        </w:rPr>
        <w:t>Tsao</w:t>
      </w:r>
      <w:proofErr w:type="spellEnd"/>
      <w:r>
        <w:rPr>
          <w:rFonts w:hint="eastAsia"/>
          <w:sz w:val="22"/>
        </w:rPr>
        <w:t xml:space="preserve"> and F</w:t>
      </w:r>
      <w:r>
        <w:rPr>
          <w:rFonts w:hint="eastAsia"/>
          <w:sz w:val="22"/>
        </w:rPr>
        <w:t xml:space="preserve">. Ren, "RACH Collision Probability for Machine-Type Communications," 2012 IEEE 75th Vehicular Technology Conference (VTC Spring), Yokohama, 2012, pp. 1-5. </w:t>
      </w:r>
      <w:proofErr w:type="spellStart"/>
      <w:proofErr w:type="gramStart"/>
      <w:r>
        <w:rPr>
          <w:rFonts w:hint="eastAsia"/>
          <w:sz w:val="22"/>
        </w:rPr>
        <w:t>doi</w:t>
      </w:r>
      <w:proofErr w:type="spellEnd"/>
      <w:proofErr w:type="gramEnd"/>
      <w:r>
        <w:rPr>
          <w:rFonts w:hint="eastAsia"/>
          <w:sz w:val="22"/>
        </w:rPr>
        <w:t>: 10.1109/VETECS.2012.6240129</w:t>
      </w:r>
    </w:p>
    <w:p w:rsidR="0050330A" w:rsidRDefault="0050330A">
      <w:pPr>
        <w:pStyle w:val="ListParagraph"/>
        <w:ind w:firstLineChars="0" w:firstLine="0"/>
        <w:jc w:val="both"/>
        <w:rPr>
          <w:sz w:val="22"/>
        </w:rPr>
      </w:pPr>
    </w:p>
    <w:p w:rsidR="0050330A" w:rsidRDefault="0050330A">
      <w:pPr>
        <w:pStyle w:val="ListParagraph"/>
        <w:ind w:firstLineChars="0" w:firstLine="0"/>
        <w:jc w:val="both"/>
        <w:rPr>
          <w:sz w:val="22"/>
        </w:rPr>
      </w:pPr>
    </w:p>
    <w:p w:rsidR="0050330A" w:rsidRDefault="0050330A">
      <w:pPr>
        <w:pStyle w:val="ListParagraph"/>
        <w:ind w:firstLineChars="0" w:firstLine="0"/>
        <w:jc w:val="both"/>
        <w:rPr>
          <w:sz w:val="22"/>
        </w:rPr>
      </w:pPr>
    </w:p>
    <w:p w:rsidR="0050330A" w:rsidRDefault="00CA12B0">
      <w:pPr>
        <w:pStyle w:val="Heading1"/>
        <w:numPr>
          <w:ilvl w:val="0"/>
          <w:numId w:val="0"/>
        </w:numPr>
        <w:rPr>
          <w:lang w:val="en-US" w:eastAsia="zh-CN"/>
        </w:rPr>
      </w:pPr>
      <w:r>
        <w:rPr>
          <w:rFonts w:hint="eastAsia"/>
          <w:lang w:val="en-US" w:eastAsia="zh-CN"/>
        </w:rPr>
        <w:t>Appendix</w:t>
      </w:r>
    </w:p>
    <w:p w:rsidR="0050330A" w:rsidRDefault="00CA12B0">
      <w:r>
        <w:rPr>
          <w:rFonts w:hint="eastAsia"/>
        </w:rPr>
        <w:t>It was mentioned in [5] that the collision probability c</w:t>
      </w:r>
      <w:r>
        <w:rPr>
          <w:rFonts w:hint="eastAsia"/>
        </w:rPr>
        <w:t>aptured in [1] is obtained from UE perspective while the original definition in section 6.3.1 in the TS implies the slot perspective vision. A modified collision probability version would be to use the following formula,</w:t>
      </w:r>
    </w:p>
    <w:p w:rsidR="0050330A" w:rsidRDefault="00CA12B0">
      <w:pPr>
        <w:jc w:val="center"/>
      </w:pPr>
      <w:r>
        <w:rPr>
          <w:rFonts w:hint="eastAsia"/>
          <w:position w:val="-14"/>
        </w:rPr>
        <w:object w:dxaOrig="2703" w:dyaOrig="394">
          <v:shape id="_x0000_i1044" type="#_x0000_t75" style="width:135.15pt;height:19.7pt" o:ole="">
            <v:imagedata r:id="rId50" o:title=""/>
          </v:shape>
          <o:OLEObject Type="Embed" ProgID="Equation.3" ShapeID="_x0000_i1044" DrawAspect="Content" ObjectID="_1615403164" r:id="rId51"/>
        </w:object>
      </w:r>
      <w:r>
        <w:rPr>
          <w:rFonts w:hint="eastAsia"/>
        </w:rPr>
        <w:t xml:space="preserve"> (2)</w:t>
      </w:r>
    </w:p>
    <w:p w:rsidR="0050330A" w:rsidRDefault="00CA12B0">
      <w:r>
        <w:rPr>
          <w:rFonts w:hint="eastAsia"/>
        </w:rPr>
        <w:lastRenderedPageBreak/>
        <w:t>Consider</w:t>
      </w:r>
      <w:r>
        <w:rPr>
          <w:rFonts w:hint="eastAsia"/>
        </w:rPr>
        <w:t>ing the fact that the function in formula (1) is a concave function, then the overall collision probability would even decrease with unequal traffic arrival rate at each equally partitioned group. However, this formula (2) is a convex function and the over</w:t>
      </w:r>
      <w:r>
        <w:rPr>
          <w:rFonts w:hint="eastAsia"/>
        </w:rPr>
        <w:t>all probability would increase with unequal traffic arrival rate at each equally partitioned group.</w:t>
      </w:r>
    </w:p>
    <w:p w:rsidR="0050330A" w:rsidRDefault="0050330A"/>
    <w:p w:rsidR="0050330A" w:rsidRDefault="00CA12B0">
      <w:r>
        <w:rPr>
          <w:rFonts w:hint="eastAsia"/>
        </w:rPr>
        <w:t xml:space="preserve">According to (3), the </w:t>
      </w:r>
      <w:proofErr w:type="spellStart"/>
      <w:r>
        <w:rPr>
          <w:rFonts w:hint="eastAsia"/>
        </w:rPr>
        <w:t>mis</w:t>
      </w:r>
      <w:proofErr w:type="spellEnd"/>
      <w:r>
        <w:rPr>
          <w:rFonts w:hint="eastAsia"/>
        </w:rPr>
        <w:t>-detection probability may be defined as the ratio between the total number of transmitted preambles that are either not detected,</w:t>
      </w:r>
      <w:r>
        <w:rPr>
          <w:rFonts w:hint="eastAsia"/>
        </w:rPr>
        <w:t xml:space="preserve"> or detected as a different preamble, or detected but with timing error greater than the maximum value (i.e., 50% of normal CP length), and the total number of transmitted preambles within an observation interval. Collision probability from UE perspective </w:t>
      </w:r>
      <w:r>
        <w:rPr>
          <w:rFonts w:hint="eastAsia"/>
        </w:rPr>
        <w:t xml:space="preserve">refers to the conditional probability under the situation where there exists already a UE performing RACH access. Assuming at least 1 UE is detected, the </w:t>
      </w:r>
      <w:proofErr w:type="spellStart"/>
      <w:r>
        <w:rPr>
          <w:rFonts w:hint="eastAsia"/>
        </w:rPr>
        <w:t>mis</w:t>
      </w:r>
      <w:proofErr w:type="spellEnd"/>
      <w:r>
        <w:rPr>
          <w:rFonts w:hint="eastAsia"/>
        </w:rPr>
        <w:t>-detection probability from UE perspective could therefore be calculated as follows,</w:t>
      </w:r>
    </w:p>
    <w:p w:rsidR="0050330A" w:rsidRDefault="00CA12B0">
      <w:pPr>
        <w:rPr>
          <w:rFonts w:ascii="Cambria Math" w:hAnsi="Cambria Math" w:hint="eastAsia"/>
          <w:position w:val="-28"/>
        </w:rPr>
      </w:pPr>
      <w:r>
        <w:rPr>
          <w:rFonts w:ascii="Cambria Math" w:hAnsi="Cambria Math" w:hint="eastAsia"/>
          <w:position w:val="-32"/>
        </w:rPr>
        <w:object w:dxaOrig="8586" w:dyaOrig="761">
          <v:shape id="_x0000_i1045" type="#_x0000_t75" style="width:429.3pt;height:38.05pt" o:ole="">
            <v:imagedata r:id="rId52" o:title=""/>
          </v:shape>
          <o:OLEObject Type="Embed" ProgID="Equation.3" ShapeID="_x0000_i1045" DrawAspect="Content" ObjectID="_1615403165" r:id="rId53"/>
        </w:object>
      </w:r>
    </w:p>
    <w:p w:rsidR="0050330A" w:rsidRDefault="00CA12B0">
      <w:r>
        <w:rPr>
          <w:rFonts w:hint="eastAsia"/>
        </w:rPr>
        <w:t xml:space="preserve">Collision probability from slot perspective refers to the situation where no UEs are performing RACH access.  Assuming at least 1 UE is detected, the </w:t>
      </w:r>
      <w:proofErr w:type="spellStart"/>
      <w:r>
        <w:rPr>
          <w:rFonts w:hint="eastAsia"/>
        </w:rPr>
        <w:t>mis</w:t>
      </w:r>
      <w:proofErr w:type="spellEnd"/>
      <w:r>
        <w:rPr>
          <w:rFonts w:hint="eastAsia"/>
        </w:rPr>
        <w:t>-detection probability from UE perspective could therefore be calculated as follows,</w:t>
      </w:r>
    </w:p>
    <w:p w:rsidR="0050330A" w:rsidRDefault="00CA12B0">
      <w:pPr>
        <w:jc w:val="center"/>
        <w:rPr>
          <w:rFonts w:ascii="Cambria Math" w:hAnsi="Cambria Math" w:hint="eastAsia"/>
          <w:position w:val="-22"/>
        </w:rPr>
      </w:pPr>
      <w:r>
        <w:rPr>
          <w:rFonts w:ascii="Cambria Math" w:hAnsi="Cambria Math" w:hint="eastAsia"/>
          <w:position w:val="-22"/>
        </w:rPr>
        <w:object w:dxaOrig="6426" w:dyaOrig="584">
          <v:shape id="_x0000_i1046" type="#_x0000_t75" style="width:321.3pt;height:29.2pt" o:ole="">
            <v:imagedata r:id="rId54" o:title=""/>
          </v:shape>
          <o:OLEObject Type="Embed" ProgID="Equation.3" ShapeID="_x0000_i1046" DrawAspect="Content" ObjectID="_1615403166" r:id="rId55"/>
        </w:object>
      </w:r>
    </w:p>
    <w:p w:rsidR="0050330A" w:rsidRDefault="00CA12B0">
      <w:pPr>
        <w:rPr>
          <w:rFonts w:ascii="Cambria Math" w:hAnsi="Cambria Math" w:hint="eastAsia"/>
          <w:position w:val="-22"/>
        </w:rPr>
      </w:pPr>
      <w:r>
        <w:rPr>
          <w:rFonts w:ascii="Cambria Math" w:hAnsi="Cambria Math" w:hint="eastAsia"/>
          <w:position w:val="-22"/>
        </w:rPr>
        <w:t xml:space="preserve">The </w:t>
      </w:r>
      <w:proofErr w:type="spellStart"/>
      <w:r>
        <w:rPr>
          <w:rFonts w:ascii="Cambria Math" w:hAnsi="Cambria Math" w:hint="eastAsia"/>
          <w:position w:val="-22"/>
        </w:rPr>
        <w:t>mis</w:t>
      </w:r>
      <w:proofErr w:type="spellEnd"/>
      <w:r>
        <w:rPr>
          <w:rFonts w:ascii="Cambria Math" w:hAnsi="Cambria Math" w:hint="eastAsia"/>
          <w:position w:val="-22"/>
        </w:rPr>
        <w:t xml:space="preserve">-detection probability are both convex and traffic/preamble group size </w:t>
      </w:r>
      <w:proofErr w:type="spellStart"/>
      <w:r>
        <w:rPr>
          <w:rFonts w:ascii="Cambria Math" w:hAnsi="Cambria Math" w:hint="eastAsia"/>
          <w:position w:val="-22"/>
        </w:rPr>
        <w:t>mis</w:t>
      </w:r>
      <w:proofErr w:type="spellEnd"/>
      <w:r>
        <w:rPr>
          <w:rFonts w:ascii="Cambria Math" w:hAnsi="Cambria Math" w:hint="eastAsia"/>
          <w:position w:val="-22"/>
        </w:rPr>
        <w:t>-match would lead to overall collision probability increase.</w:t>
      </w:r>
    </w:p>
    <w:sectPr w:rsidR="0050330A">
      <w:headerReference w:type="default" r:id="rId56"/>
      <w:footerReference w:type="even" r:id="rId57"/>
      <w:footerReference w:type="default" r:id="rId58"/>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2B0" w:rsidRDefault="00CA12B0">
      <w:pPr>
        <w:spacing w:line="240" w:lineRule="auto"/>
      </w:pPr>
      <w:r>
        <w:separator/>
      </w:r>
    </w:p>
  </w:endnote>
  <w:endnote w:type="continuationSeparator" w:id="0">
    <w:p w:rsidR="00CA12B0" w:rsidRDefault="00CA12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Arial Unicode MS"/>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30A" w:rsidRDefault="00CA12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0330A" w:rsidRDefault="0050330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30A" w:rsidRDefault="00CA12B0">
    <w:pPr>
      <w:pStyle w:val="Footer"/>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2B0" w:rsidRDefault="00CA12B0">
      <w:pPr>
        <w:spacing w:line="240" w:lineRule="auto"/>
      </w:pPr>
      <w:r>
        <w:separator/>
      </w:r>
    </w:p>
  </w:footnote>
  <w:footnote w:type="continuationSeparator" w:id="0">
    <w:p w:rsidR="00CA12B0" w:rsidRDefault="00CA12B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330A" w:rsidRDefault="0050330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1A67A9"/>
    <w:multiLevelType w:val="multilevel"/>
    <w:tmpl w:val="011A67A9"/>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420C56"/>
    <w:multiLevelType w:val="multilevel"/>
    <w:tmpl w:val="1A420C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B1757E5"/>
    <w:multiLevelType w:val="multilevel"/>
    <w:tmpl w:val="5B1757E5"/>
    <w:lvl w:ilvl="0">
      <w:start w:val="1"/>
      <w:numFmt w:val="decimal"/>
      <w:pStyle w:val="Heading1"/>
      <w:lvlText w:val="%1"/>
      <w:lvlJc w:val="left"/>
      <w:pPr>
        <w:ind w:left="432" w:hanging="432"/>
      </w:pPr>
    </w:lvl>
    <w:lvl w:ilvl="1">
      <w:start w:val="1"/>
      <w:numFmt w:val="decimal"/>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521A3E"/>
    <w:multiLevelType w:val="multilevel"/>
    <w:tmpl w:val="5F521A3E"/>
    <w:lvl w:ilvl="0">
      <w:start w:val="1"/>
      <w:numFmt w:val="decimal"/>
      <w:lvlText w:val="%1."/>
      <w:lvlJc w:val="left"/>
      <w:pPr>
        <w:ind w:left="644" w:hanging="360"/>
      </w:pPr>
    </w:lvl>
    <w:lvl w:ilvl="1">
      <w:start w:val="1"/>
      <w:numFmt w:val="decimal"/>
      <w:isLgl/>
      <w:lvlText w:val="%1.%2"/>
      <w:lvlJc w:val="left"/>
      <w:pPr>
        <w:ind w:left="1140" w:hanging="1140"/>
      </w:pPr>
    </w:lvl>
    <w:lvl w:ilvl="2">
      <w:start w:val="1"/>
      <w:numFmt w:val="decimal"/>
      <w:isLgl/>
      <w:lvlText w:val="%1.%2.%3"/>
      <w:lvlJc w:val="left"/>
      <w:pPr>
        <w:ind w:left="1140" w:hanging="1140"/>
      </w:pPr>
    </w:lvl>
    <w:lvl w:ilvl="3">
      <w:start w:val="1"/>
      <w:numFmt w:val="decimal"/>
      <w:isLgl/>
      <w:lvlText w:val="%1.%2.%3.%4"/>
      <w:lvlJc w:val="left"/>
      <w:pPr>
        <w:ind w:left="1140" w:hanging="1140"/>
      </w:pPr>
    </w:lvl>
    <w:lvl w:ilvl="4">
      <w:start w:val="1"/>
      <w:numFmt w:val="decimal"/>
      <w:isLgl/>
      <w:lvlText w:val="%1.%2.%3.%4.%5"/>
      <w:lvlJc w:val="left"/>
      <w:pPr>
        <w:ind w:left="1140" w:hanging="1140"/>
      </w:pPr>
    </w:lvl>
    <w:lvl w:ilvl="5">
      <w:start w:val="1"/>
      <w:numFmt w:val="decimal"/>
      <w:isLgl/>
      <w:lvlText w:val="%1.%2.%3.%4.%5.%6"/>
      <w:lvlJc w:val="left"/>
      <w:pPr>
        <w:ind w:left="1140" w:hanging="1140"/>
      </w:pPr>
    </w:lvl>
    <w:lvl w:ilvl="6">
      <w:start w:val="1"/>
      <w:numFmt w:val="decimal"/>
      <w:isLgl/>
      <w:lvlText w:val="%1.%2.%3.%4.%5.%6.%7"/>
      <w:lvlJc w:val="left"/>
      <w:pPr>
        <w:ind w:left="1140" w:hanging="114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0"/>
  </w:num>
  <w:num w:numId="3">
    <w:abstractNumId w:val="28"/>
  </w:num>
  <w:num w:numId="4">
    <w:abstractNumId w:val="14"/>
  </w:num>
  <w:num w:numId="5">
    <w:abstractNumId w:val="9"/>
  </w:num>
  <w:num w:numId="6">
    <w:abstractNumId w:val="11"/>
  </w:num>
  <w:num w:numId="7">
    <w:abstractNumId w:val="15"/>
  </w:num>
  <w:num w:numId="8">
    <w:abstractNumId w:val="16"/>
  </w:num>
  <w:num w:numId="9">
    <w:abstractNumId w:val="30"/>
  </w:num>
  <w:num w:numId="10">
    <w:abstractNumId w:val="17"/>
  </w:num>
  <w:num w:numId="11">
    <w:abstractNumId w:val="26"/>
  </w:num>
  <w:num w:numId="12">
    <w:abstractNumId w:val="12"/>
  </w:num>
  <w:num w:numId="13">
    <w:abstractNumId w:val="2"/>
  </w:num>
  <w:num w:numId="14">
    <w:abstractNumId w:val="4"/>
  </w:num>
  <w:num w:numId="15">
    <w:abstractNumId w:val="25"/>
  </w:num>
  <w:num w:numId="16">
    <w:abstractNumId w:val="8"/>
  </w:num>
  <w:num w:numId="17">
    <w:abstractNumId w:val="21"/>
  </w:num>
  <w:num w:numId="18">
    <w:abstractNumId w:val="27"/>
  </w:num>
  <w:num w:numId="19">
    <w:abstractNumId w:val="3"/>
  </w:num>
  <w:num w:numId="20">
    <w:abstractNumId w:val="29"/>
  </w:num>
  <w:num w:numId="21">
    <w:abstractNumId w:val="24"/>
  </w:num>
  <w:num w:numId="22">
    <w:abstractNumId w:val="10"/>
  </w:num>
  <w:num w:numId="23">
    <w:abstractNumId w:val="18"/>
  </w:num>
  <w:num w:numId="24">
    <w:abstractNumId w:val="19"/>
  </w:num>
  <w:num w:numId="25">
    <w:abstractNumId w:val="7"/>
  </w:num>
  <w:num w:numId="26">
    <w:abstractNumId w:val="6"/>
  </w:num>
  <w:num w:numId="27">
    <w:abstractNumId w:val="2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hyphenationZone w:val="425"/>
  <w:drawingGridHorizontalSpacing w:val="10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DBA"/>
    <w:rsid w:val="000002D5"/>
    <w:rsid w:val="000003ED"/>
    <w:rsid w:val="0000060E"/>
    <w:rsid w:val="00000D4E"/>
    <w:rsid w:val="0000123D"/>
    <w:rsid w:val="00002B97"/>
    <w:rsid w:val="00002BA5"/>
    <w:rsid w:val="000039E5"/>
    <w:rsid w:val="000049B1"/>
    <w:rsid w:val="00004DD9"/>
    <w:rsid w:val="00005274"/>
    <w:rsid w:val="00005A6E"/>
    <w:rsid w:val="00006B42"/>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585"/>
    <w:rsid w:val="00021B15"/>
    <w:rsid w:val="00021CF6"/>
    <w:rsid w:val="00021E8D"/>
    <w:rsid w:val="00023D9C"/>
    <w:rsid w:val="00024231"/>
    <w:rsid w:val="000269C9"/>
    <w:rsid w:val="00027F39"/>
    <w:rsid w:val="00030BAF"/>
    <w:rsid w:val="000314BE"/>
    <w:rsid w:val="00032720"/>
    <w:rsid w:val="00033E99"/>
    <w:rsid w:val="00035170"/>
    <w:rsid w:val="0003612C"/>
    <w:rsid w:val="00036680"/>
    <w:rsid w:val="00037DCC"/>
    <w:rsid w:val="00037F62"/>
    <w:rsid w:val="000411C0"/>
    <w:rsid w:val="00041768"/>
    <w:rsid w:val="000420AE"/>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995"/>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C49"/>
    <w:rsid w:val="00097D0D"/>
    <w:rsid w:val="00097D8E"/>
    <w:rsid w:val="000A01F5"/>
    <w:rsid w:val="000A0675"/>
    <w:rsid w:val="000A06E8"/>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B76AD"/>
    <w:rsid w:val="000C0156"/>
    <w:rsid w:val="000C0A34"/>
    <w:rsid w:val="000C1847"/>
    <w:rsid w:val="000C19E7"/>
    <w:rsid w:val="000C1E08"/>
    <w:rsid w:val="000C1FF7"/>
    <w:rsid w:val="000C3966"/>
    <w:rsid w:val="000C3CC3"/>
    <w:rsid w:val="000C40F7"/>
    <w:rsid w:val="000C499D"/>
    <w:rsid w:val="000C5964"/>
    <w:rsid w:val="000C646C"/>
    <w:rsid w:val="000C6543"/>
    <w:rsid w:val="000C7696"/>
    <w:rsid w:val="000C7B19"/>
    <w:rsid w:val="000C7F49"/>
    <w:rsid w:val="000D0299"/>
    <w:rsid w:val="000D1D70"/>
    <w:rsid w:val="000D231C"/>
    <w:rsid w:val="000D27ED"/>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3C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829"/>
    <w:rsid w:val="00110AB4"/>
    <w:rsid w:val="001117B2"/>
    <w:rsid w:val="00112AC8"/>
    <w:rsid w:val="00113BF9"/>
    <w:rsid w:val="00115BFE"/>
    <w:rsid w:val="00116121"/>
    <w:rsid w:val="00116183"/>
    <w:rsid w:val="001161B6"/>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36F52"/>
    <w:rsid w:val="00137701"/>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2E55"/>
    <w:rsid w:val="00164066"/>
    <w:rsid w:val="00165753"/>
    <w:rsid w:val="0016677D"/>
    <w:rsid w:val="001667BB"/>
    <w:rsid w:val="00166BE6"/>
    <w:rsid w:val="00167124"/>
    <w:rsid w:val="0016721B"/>
    <w:rsid w:val="00167C23"/>
    <w:rsid w:val="0017034E"/>
    <w:rsid w:val="00171139"/>
    <w:rsid w:val="0017139A"/>
    <w:rsid w:val="00171B2D"/>
    <w:rsid w:val="00171C4F"/>
    <w:rsid w:val="001721E6"/>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D3A"/>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0F35"/>
    <w:rsid w:val="001F1429"/>
    <w:rsid w:val="001F1783"/>
    <w:rsid w:val="001F18C2"/>
    <w:rsid w:val="001F2E86"/>
    <w:rsid w:val="001F3A7E"/>
    <w:rsid w:val="001F3B86"/>
    <w:rsid w:val="001F4B8A"/>
    <w:rsid w:val="001F4D79"/>
    <w:rsid w:val="001F5B0C"/>
    <w:rsid w:val="001F6825"/>
    <w:rsid w:val="001F6CD5"/>
    <w:rsid w:val="001F7409"/>
    <w:rsid w:val="001F7773"/>
    <w:rsid w:val="001F7815"/>
    <w:rsid w:val="00200695"/>
    <w:rsid w:val="00200744"/>
    <w:rsid w:val="0020089F"/>
    <w:rsid w:val="00200D8A"/>
    <w:rsid w:val="0020162E"/>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23"/>
    <w:rsid w:val="00222F98"/>
    <w:rsid w:val="00223A39"/>
    <w:rsid w:val="00223B89"/>
    <w:rsid w:val="00223E00"/>
    <w:rsid w:val="0022453B"/>
    <w:rsid w:val="00224645"/>
    <w:rsid w:val="0022597F"/>
    <w:rsid w:val="002263C5"/>
    <w:rsid w:val="0022697B"/>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400B0"/>
    <w:rsid w:val="00242766"/>
    <w:rsid w:val="00242CB2"/>
    <w:rsid w:val="00242E27"/>
    <w:rsid w:val="0024387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22C"/>
    <w:rsid w:val="0025650E"/>
    <w:rsid w:val="00256A35"/>
    <w:rsid w:val="00256E16"/>
    <w:rsid w:val="002576A7"/>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2467"/>
    <w:rsid w:val="0027255D"/>
    <w:rsid w:val="00273019"/>
    <w:rsid w:val="002737D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1B9D"/>
    <w:rsid w:val="002925A4"/>
    <w:rsid w:val="0029272D"/>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0D71"/>
    <w:rsid w:val="002A1865"/>
    <w:rsid w:val="002A2FA8"/>
    <w:rsid w:val="002A34AF"/>
    <w:rsid w:val="002A3A22"/>
    <w:rsid w:val="002A3C50"/>
    <w:rsid w:val="002A3E5A"/>
    <w:rsid w:val="002A54A2"/>
    <w:rsid w:val="002A6738"/>
    <w:rsid w:val="002A6E54"/>
    <w:rsid w:val="002A7BF9"/>
    <w:rsid w:val="002B09BE"/>
    <w:rsid w:val="002B17C7"/>
    <w:rsid w:val="002B2203"/>
    <w:rsid w:val="002B40F3"/>
    <w:rsid w:val="002B4D7C"/>
    <w:rsid w:val="002B5918"/>
    <w:rsid w:val="002B5F5C"/>
    <w:rsid w:val="002B66F7"/>
    <w:rsid w:val="002B6BAA"/>
    <w:rsid w:val="002B7E3C"/>
    <w:rsid w:val="002C081C"/>
    <w:rsid w:val="002C09CF"/>
    <w:rsid w:val="002C109D"/>
    <w:rsid w:val="002C1BF6"/>
    <w:rsid w:val="002C269D"/>
    <w:rsid w:val="002C2A67"/>
    <w:rsid w:val="002C3607"/>
    <w:rsid w:val="002C368B"/>
    <w:rsid w:val="002C36A5"/>
    <w:rsid w:val="002C370A"/>
    <w:rsid w:val="002C3C80"/>
    <w:rsid w:val="002C47DC"/>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8DB"/>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70F"/>
    <w:rsid w:val="003162A2"/>
    <w:rsid w:val="00316A36"/>
    <w:rsid w:val="00320818"/>
    <w:rsid w:val="00321243"/>
    <w:rsid w:val="00321F38"/>
    <w:rsid w:val="00322190"/>
    <w:rsid w:val="003235C1"/>
    <w:rsid w:val="00323AC2"/>
    <w:rsid w:val="00324564"/>
    <w:rsid w:val="003253FC"/>
    <w:rsid w:val="00325D04"/>
    <w:rsid w:val="00326B92"/>
    <w:rsid w:val="00327EC6"/>
    <w:rsid w:val="0033176D"/>
    <w:rsid w:val="003319E1"/>
    <w:rsid w:val="00331C94"/>
    <w:rsid w:val="00332F59"/>
    <w:rsid w:val="00334DD9"/>
    <w:rsid w:val="00334E36"/>
    <w:rsid w:val="00335EE2"/>
    <w:rsid w:val="00337150"/>
    <w:rsid w:val="00337819"/>
    <w:rsid w:val="00337B21"/>
    <w:rsid w:val="003405F9"/>
    <w:rsid w:val="00340F6B"/>
    <w:rsid w:val="00340FCF"/>
    <w:rsid w:val="003411A1"/>
    <w:rsid w:val="0034126F"/>
    <w:rsid w:val="00341B32"/>
    <w:rsid w:val="00341FA2"/>
    <w:rsid w:val="00343D78"/>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4AB"/>
    <w:rsid w:val="00360683"/>
    <w:rsid w:val="00361433"/>
    <w:rsid w:val="00361696"/>
    <w:rsid w:val="00361DFA"/>
    <w:rsid w:val="003631E5"/>
    <w:rsid w:val="00363554"/>
    <w:rsid w:val="00364C6F"/>
    <w:rsid w:val="0036742C"/>
    <w:rsid w:val="00370089"/>
    <w:rsid w:val="003708FF"/>
    <w:rsid w:val="003711F8"/>
    <w:rsid w:val="00371585"/>
    <w:rsid w:val="00372402"/>
    <w:rsid w:val="00373017"/>
    <w:rsid w:val="00373A0C"/>
    <w:rsid w:val="00374DFC"/>
    <w:rsid w:val="00377306"/>
    <w:rsid w:val="00377A32"/>
    <w:rsid w:val="00380D49"/>
    <w:rsid w:val="00383571"/>
    <w:rsid w:val="00384446"/>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4E5C"/>
    <w:rsid w:val="003B5CF4"/>
    <w:rsid w:val="003B5E1F"/>
    <w:rsid w:val="003B6266"/>
    <w:rsid w:val="003B72BB"/>
    <w:rsid w:val="003B7FE7"/>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0320"/>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65E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48B6"/>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39E5"/>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40"/>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862"/>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1976"/>
    <w:rsid w:val="004E221B"/>
    <w:rsid w:val="004E42B5"/>
    <w:rsid w:val="004E56C3"/>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30A"/>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5D48"/>
    <w:rsid w:val="00515F07"/>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0FC"/>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69C6"/>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5EF1"/>
    <w:rsid w:val="005A675B"/>
    <w:rsid w:val="005A6CCB"/>
    <w:rsid w:val="005B000C"/>
    <w:rsid w:val="005B0B6C"/>
    <w:rsid w:val="005B0B97"/>
    <w:rsid w:val="005B224E"/>
    <w:rsid w:val="005B3847"/>
    <w:rsid w:val="005B3EF1"/>
    <w:rsid w:val="005B4B79"/>
    <w:rsid w:val="005B4F28"/>
    <w:rsid w:val="005B5DC1"/>
    <w:rsid w:val="005B637E"/>
    <w:rsid w:val="005B648E"/>
    <w:rsid w:val="005B6C81"/>
    <w:rsid w:val="005B7BC5"/>
    <w:rsid w:val="005C12E2"/>
    <w:rsid w:val="005C15A0"/>
    <w:rsid w:val="005C18D5"/>
    <w:rsid w:val="005C3205"/>
    <w:rsid w:val="005C3806"/>
    <w:rsid w:val="005C3D5C"/>
    <w:rsid w:val="005C4509"/>
    <w:rsid w:val="005C6695"/>
    <w:rsid w:val="005C78B5"/>
    <w:rsid w:val="005C799C"/>
    <w:rsid w:val="005D1912"/>
    <w:rsid w:val="005D1B58"/>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A34"/>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C09"/>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3737F"/>
    <w:rsid w:val="0064072D"/>
    <w:rsid w:val="0064134B"/>
    <w:rsid w:val="00641B08"/>
    <w:rsid w:val="00643399"/>
    <w:rsid w:val="006433E0"/>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65DE"/>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960"/>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03A9"/>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A54"/>
    <w:rsid w:val="00782D7B"/>
    <w:rsid w:val="00783521"/>
    <w:rsid w:val="00784191"/>
    <w:rsid w:val="007841BC"/>
    <w:rsid w:val="0078435E"/>
    <w:rsid w:val="007846AA"/>
    <w:rsid w:val="00784A7D"/>
    <w:rsid w:val="00785D00"/>
    <w:rsid w:val="0078613B"/>
    <w:rsid w:val="00786C33"/>
    <w:rsid w:val="007872CF"/>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6D17"/>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3FE"/>
    <w:rsid w:val="007D3894"/>
    <w:rsid w:val="007D3998"/>
    <w:rsid w:val="007D429C"/>
    <w:rsid w:val="007D451E"/>
    <w:rsid w:val="007D4668"/>
    <w:rsid w:val="007D5DB9"/>
    <w:rsid w:val="007D5F89"/>
    <w:rsid w:val="007D6A11"/>
    <w:rsid w:val="007D6C2B"/>
    <w:rsid w:val="007D7910"/>
    <w:rsid w:val="007D7B28"/>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B3D"/>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202"/>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5B28"/>
    <w:rsid w:val="00836840"/>
    <w:rsid w:val="00836ADA"/>
    <w:rsid w:val="00836F03"/>
    <w:rsid w:val="008374EF"/>
    <w:rsid w:val="00837AD2"/>
    <w:rsid w:val="00840AB6"/>
    <w:rsid w:val="008419F1"/>
    <w:rsid w:val="00841F43"/>
    <w:rsid w:val="00842222"/>
    <w:rsid w:val="00842932"/>
    <w:rsid w:val="00844D2A"/>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288"/>
    <w:rsid w:val="00854D9B"/>
    <w:rsid w:val="0085541D"/>
    <w:rsid w:val="00855D37"/>
    <w:rsid w:val="00856CC3"/>
    <w:rsid w:val="008621B9"/>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DED"/>
    <w:rsid w:val="008A6DF7"/>
    <w:rsid w:val="008A7482"/>
    <w:rsid w:val="008B2063"/>
    <w:rsid w:val="008B32F0"/>
    <w:rsid w:val="008B33CF"/>
    <w:rsid w:val="008B37C6"/>
    <w:rsid w:val="008B3A5F"/>
    <w:rsid w:val="008B402A"/>
    <w:rsid w:val="008B4226"/>
    <w:rsid w:val="008B4B6C"/>
    <w:rsid w:val="008B4DE9"/>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5FF"/>
    <w:rsid w:val="008D1AF3"/>
    <w:rsid w:val="008D1EF9"/>
    <w:rsid w:val="008D220B"/>
    <w:rsid w:val="008D2554"/>
    <w:rsid w:val="008D4530"/>
    <w:rsid w:val="008D4947"/>
    <w:rsid w:val="008D59FE"/>
    <w:rsid w:val="008D66F4"/>
    <w:rsid w:val="008D6BA6"/>
    <w:rsid w:val="008D6DCB"/>
    <w:rsid w:val="008E01BD"/>
    <w:rsid w:val="008E0ABC"/>
    <w:rsid w:val="008E237F"/>
    <w:rsid w:val="008E27D5"/>
    <w:rsid w:val="008E29B3"/>
    <w:rsid w:val="008E2C6F"/>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0FA3"/>
    <w:rsid w:val="00901CAC"/>
    <w:rsid w:val="0090352C"/>
    <w:rsid w:val="0090427E"/>
    <w:rsid w:val="0090431E"/>
    <w:rsid w:val="00904F34"/>
    <w:rsid w:val="0090516B"/>
    <w:rsid w:val="009066D6"/>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674F"/>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0C5"/>
    <w:rsid w:val="00951DB7"/>
    <w:rsid w:val="009540B1"/>
    <w:rsid w:val="009556EA"/>
    <w:rsid w:val="0095573F"/>
    <w:rsid w:val="00956660"/>
    <w:rsid w:val="00956734"/>
    <w:rsid w:val="009571C1"/>
    <w:rsid w:val="00957A9D"/>
    <w:rsid w:val="0096003B"/>
    <w:rsid w:val="00960B4F"/>
    <w:rsid w:val="00960D71"/>
    <w:rsid w:val="009625EF"/>
    <w:rsid w:val="00962631"/>
    <w:rsid w:val="00962667"/>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073"/>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A4804"/>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0E84"/>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1754"/>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49EC"/>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17E4D"/>
    <w:rsid w:val="00A20B32"/>
    <w:rsid w:val="00A21552"/>
    <w:rsid w:val="00A21BA9"/>
    <w:rsid w:val="00A21CD8"/>
    <w:rsid w:val="00A22250"/>
    <w:rsid w:val="00A22F3F"/>
    <w:rsid w:val="00A23668"/>
    <w:rsid w:val="00A237B2"/>
    <w:rsid w:val="00A2398D"/>
    <w:rsid w:val="00A2410B"/>
    <w:rsid w:val="00A24CCA"/>
    <w:rsid w:val="00A24F87"/>
    <w:rsid w:val="00A25010"/>
    <w:rsid w:val="00A25CF2"/>
    <w:rsid w:val="00A260AF"/>
    <w:rsid w:val="00A265FF"/>
    <w:rsid w:val="00A26898"/>
    <w:rsid w:val="00A273D6"/>
    <w:rsid w:val="00A279D4"/>
    <w:rsid w:val="00A27B2A"/>
    <w:rsid w:val="00A31718"/>
    <w:rsid w:val="00A31A90"/>
    <w:rsid w:val="00A32E0B"/>
    <w:rsid w:val="00A334C0"/>
    <w:rsid w:val="00A346BB"/>
    <w:rsid w:val="00A34767"/>
    <w:rsid w:val="00A3479C"/>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CBF"/>
    <w:rsid w:val="00A46E9F"/>
    <w:rsid w:val="00A472DC"/>
    <w:rsid w:val="00A5148E"/>
    <w:rsid w:val="00A515D6"/>
    <w:rsid w:val="00A51F22"/>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A7FF2"/>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0BA0"/>
    <w:rsid w:val="00AF1A64"/>
    <w:rsid w:val="00AF3B2C"/>
    <w:rsid w:val="00AF433F"/>
    <w:rsid w:val="00AF4A7C"/>
    <w:rsid w:val="00AF547D"/>
    <w:rsid w:val="00B00D09"/>
    <w:rsid w:val="00B01219"/>
    <w:rsid w:val="00B01476"/>
    <w:rsid w:val="00B02926"/>
    <w:rsid w:val="00B03330"/>
    <w:rsid w:val="00B03B2F"/>
    <w:rsid w:val="00B03BCC"/>
    <w:rsid w:val="00B03E76"/>
    <w:rsid w:val="00B03EEB"/>
    <w:rsid w:val="00B04E6E"/>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101"/>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1DC8"/>
    <w:rsid w:val="00B328DD"/>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625"/>
    <w:rsid w:val="00B578C5"/>
    <w:rsid w:val="00B60756"/>
    <w:rsid w:val="00B60DCF"/>
    <w:rsid w:val="00B61232"/>
    <w:rsid w:val="00B63AB4"/>
    <w:rsid w:val="00B63B94"/>
    <w:rsid w:val="00B6449B"/>
    <w:rsid w:val="00B65820"/>
    <w:rsid w:val="00B6735A"/>
    <w:rsid w:val="00B6780E"/>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95FD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80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6B15"/>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2FC9"/>
    <w:rsid w:val="00C43754"/>
    <w:rsid w:val="00C445A1"/>
    <w:rsid w:val="00C44689"/>
    <w:rsid w:val="00C454D7"/>
    <w:rsid w:val="00C4600D"/>
    <w:rsid w:val="00C467CD"/>
    <w:rsid w:val="00C47ABD"/>
    <w:rsid w:val="00C50168"/>
    <w:rsid w:val="00C501D5"/>
    <w:rsid w:val="00C50A16"/>
    <w:rsid w:val="00C50E13"/>
    <w:rsid w:val="00C513F4"/>
    <w:rsid w:val="00C516B7"/>
    <w:rsid w:val="00C52704"/>
    <w:rsid w:val="00C529CC"/>
    <w:rsid w:val="00C52E84"/>
    <w:rsid w:val="00C53622"/>
    <w:rsid w:val="00C54982"/>
    <w:rsid w:val="00C573D9"/>
    <w:rsid w:val="00C61DBC"/>
    <w:rsid w:val="00C61E50"/>
    <w:rsid w:val="00C63C6D"/>
    <w:rsid w:val="00C65799"/>
    <w:rsid w:val="00C65F20"/>
    <w:rsid w:val="00C667BC"/>
    <w:rsid w:val="00C6692D"/>
    <w:rsid w:val="00C66B5A"/>
    <w:rsid w:val="00C71126"/>
    <w:rsid w:val="00C71FEF"/>
    <w:rsid w:val="00C7262F"/>
    <w:rsid w:val="00C7277F"/>
    <w:rsid w:val="00C73101"/>
    <w:rsid w:val="00C733B8"/>
    <w:rsid w:val="00C744ED"/>
    <w:rsid w:val="00C76F0D"/>
    <w:rsid w:val="00C771EC"/>
    <w:rsid w:val="00C800F2"/>
    <w:rsid w:val="00C805E5"/>
    <w:rsid w:val="00C81BB1"/>
    <w:rsid w:val="00C82AA6"/>
    <w:rsid w:val="00C8562D"/>
    <w:rsid w:val="00C859A2"/>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2B0"/>
    <w:rsid w:val="00CA169F"/>
    <w:rsid w:val="00CA21DD"/>
    <w:rsid w:val="00CA32E5"/>
    <w:rsid w:val="00CA4488"/>
    <w:rsid w:val="00CA4981"/>
    <w:rsid w:val="00CA56E1"/>
    <w:rsid w:val="00CA574B"/>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D42"/>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0AF4"/>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2D1"/>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1FFB"/>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2F8"/>
    <w:rsid w:val="00DD34F8"/>
    <w:rsid w:val="00DD3F3B"/>
    <w:rsid w:val="00DD4C58"/>
    <w:rsid w:val="00DD54F8"/>
    <w:rsid w:val="00DD5723"/>
    <w:rsid w:val="00DD5A4C"/>
    <w:rsid w:val="00DD646B"/>
    <w:rsid w:val="00DD69E4"/>
    <w:rsid w:val="00DD71A4"/>
    <w:rsid w:val="00DD785D"/>
    <w:rsid w:val="00DD7C1D"/>
    <w:rsid w:val="00DE094E"/>
    <w:rsid w:val="00DE0E7D"/>
    <w:rsid w:val="00DE14B8"/>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125"/>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1764C"/>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3C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6B8"/>
    <w:rsid w:val="00E5585C"/>
    <w:rsid w:val="00E55C3D"/>
    <w:rsid w:val="00E56231"/>
    <w:rsid w:val="00E569C1"/>
    <w:rsid w:val="00E56E49"/>
    <w:rsid w:val="00E57329"/>
    <w:rsid w:val="00E57558"/>
    <w:rsid w:val="00E578B6"/>
    <w:rsid w:val="00E57D58"/>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86D09"/>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2E14"/>
    <w:rsid w:val="00EC363B"/>
    <w:rsid w:val="00EC3D21"/>
    <w:rsid w:val="00EC4A88"/>
    <w:rsid w:val="00EC5373"/>
    <w:rsid w:val="00EC5862"/>
    <w:rsid w:val="00EC5A5B"/>
    <w:rsid w:val="00EC6581"/>
    <w:rsid w:val="00EC67B3"/>
    <w:rsid w:val="00EC6CC0"/>
    <w:rsid w:val="00EC6E01"/>
    <w:rsid w:val="00ED049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1AF7"/>
    <w:rsid w:val="00EF2792"/>
    <w:rsid w:val="00EF3726"/>
    <w:rsid w:val="00EF6464"/>
    <w:rsid w:val="00EF713E"/>
    <w:rsid w:val="00F001B4"/>
    <w:rsid w:val="00F00FAE"/>
    <w:rsid w:val="00F01A21"/>
    <w:rsid w:val="00F01A66"/>
    <w:rsid w:val="00F02013"/>
    <w:rsid w:val="00F0229F"/>
    <w:rsid w:val="00F024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6FA3"/>
    <w:rsid w:val="00F273E1"/>
    <w:rsid w:val="00F300C8"/>
    <w:rsid w:val="00F313F6"/>
    <w:rsid w:val="00F31B9E"/>
    <w:rsid w:val="00F33AB1"/>
    <w:rsid w:val="00F3518E"/>
    <w:rsid w:val="00F375A4"/>
    <w:rsid w:val="00F40727"/>
    <w:rsid w:val="00F40A3D"/>
    <w:rsid w:val="00F41565"/>
    <w:rsid w:val="00F41712"/>
    <w:rsid w:val="00F42260"/>
    <w:rsid w:val="00F423D3"/>
    <w:rsid w:val="00F43013"/>
    <w:rsid w:val="00F437E2"/>
    <w:rsid w:val="00F4389A"/>
    <w:rsid w:val="00F44078"/>
    <w:rsid w:val="00F47654"/>
    <w:rsid w:val="00F47EE6"/>
    <w:rsid w:val="00F54083"/>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8095D"/>
    <w:rsid w:val="00F8225E"/>
    <w:rsid w:val="00F82B56"/>
    <w:rsid w:val="00F83666"/>
    <w:rsid w:val="00F851EF"/>
    <w:rsid w:val="00F8594D"/>
    <w:rsid w:val="00F861C7"/>
    <w:rsid w:val="00F86413"/>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C7F57"/>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1E3"/>
    <w:rsid w:val="00FE2656"/>
    <w:rsid w:val="00FE2682"/>
    <w:rsid w:val="00FE33F8"/>
    <w:rsid w:val="00FE48B0"/>
    <w:rsid w:val="00FE51FB"/>
    <w:rsid w:val="00FE5597"/>
    <w:rsid w:val="00FE5A94"/>
    <w:rsid w:val="00FE5CC2"/>
    <w:rsid w:val="00FE70D9"/>
    <w:rsid w:val="00FE71FE"/>
    <w:rsid w:val="00FF03CF"/>
    <w:rsid w:val="00FF04DA"/>
    <w:rsid w:val="00FF0AAD"/>
    <w:rsid w:val="00FF0E49"/>
    <w:rsid w:val="00FF10CE"/>
    <w:rsid w:val="00FF18A6"/>
    <w:rsid w:val="00FF2308"/>
    <w:rsid w:val="00FF24E2"/>
    <w:rsid w:val="00FF5026"/>
    <w:rsid w:val="00FF521B"/>
    <w:rsid w:val="00FF77DF"/>
    <w:rsid w:val="00FF7E57"/>
    <w:rsid w:val="01060528"/>
    <w:rsid w:val="0113515A"/>
    <w:rsid w:val="012754C9"/>
    <w:rsid w:val="012949F4"/>
    <w:rsid w:val="012A01EF"/>
    <w:rsid w:val="01487E9E"/>
    <w:rsid w:val="014D76EF"/>
    <w:rsid w:val="017A703B"/>
    <w:rsid w:val="01D6637F"/>
    <w:rsid w:val="020E55A6"/>
    <w:rsid w:val="02245B2C"/>
    <w:rsid w:val="02812CC6"/>
    <w:rsid w:val="02F169F9"/>
    <w:rsid w:val="031B3845"/>
    <w:rsid w:val="035D08E5"/>
    <w:rsid w:val="035F13FF"/>
    <w:rsid w:val="038E08EB"/>
    <w:rsid w:val="039E08D5"/>
    <w:rsid w:val="042A0F83"/>
    <w:rsid w:val="042C227A"/>
    <w:rsid w:val="044A521A"/>
    <w:rsid w:val="0463786B"/>
    <w:rsid w:val="04763FBC"/>
    <w:rsid w:val="048366AD"/>
    <w:rsid w:val="04C84D2D"/>
    <w:rsid w:val="04CC64EF"/>
    <w:rsid w:val="04ED1D12"/>
    <w:rsid w:val="04FE568D"/>
    <w:rsid w:val="055C295E"/>
    <w:rsid w:val="056357F8"/>
    <w:rsid w:val="05896BAF"/>
    <w:rsid w:val="05A368C6"/>
    <w:rsid w:val="05B131D6"/>
    <w:rsid w:val="05C05F15"/>
    <w:rsid w:val="0621720C"/>
    <w:rsid w:val="064F25C8"/>
    <w:rsid w:val="06C04835"/>
    <w:rsid w:val="0733037E"/>
    <w:rsid w:val="07346C05"/>
    <w:rsid w:val="07E22DD3"/>
    <w:rsid w:val="07E665A1"/>
    <w:rsid w:val="085D0138"/>
    <w:rsid w:val="08711CE5"/>
    <w:rsid w:val="08874CE9"/>
    <w:rsid w:val="08C15A4A"/>
    <w:rsid w:val="08E33D70"/>
    <w:rsid w:val="09394540"/>
    <w:rsid w:val="095C1066"/>
    <w:rsid w:val="097558E8"/>
    <w:rsid w:val="09B56BBB"/>
    <w:rsid w:val="09C716CA"/>
    <w:rsid w:val="09D93032"/>
    <w:rsid w:val="0A144ED2"/>
    <w:rsid w:val="0A7530D1"/>
    <w:rsid w:val="0A823BF9"/>
    <w:rsid w:val="0ABE4FEE"/>
    <w:rsid w:val="0B2C6AFB"/>
    <w:rsid w:val="0B463CA1"/>
    <w:rsid w:val="0BD325E7"/>
    <w:rsid w:val="0BD52F7D"/>
    <w:rsid w:val="0BFB6B84"/>
    <w:rsid w:val="0C57402A"/>
    <w:rsid w:val="0CD02664"/>
    <w:rsid w:val="0CD261E1"/>
    <w:rsid w:val="0CDE28E3"/>
    <w:rsid w:val="0CF70A00"/>
    <w:rsid w:val="0D2E26D8"/>
    <w:rsid w:val="0D396480"/>
    <w:rsid w:val="0DD04C56"/>
    <w:rsid w:val="0DF4244D"/>
    <w:rsid w:val="0DF4686A"/>
    <w:rsid w:val="0E8473B7"/>
    <w:rsid w:val="0EC921B0"/>
    <w:rsid w:val="0ECA384D"/>
    <w:rsid w:val="0EFD5A37"/>
    <w:rsid w:val="0F0A79DB"/>
    <w:rsid w:val="0F6D3FCE"/>
    <w:rsid w:val="0F8655F7"/>
    <w:rsid w:val="0F96356D"/>
    <w:rsid w:val="0FB8246A"/>
    <w:rsid w:val="11127CFD"/>
    <w:rsid w:val="11211C2F"/>
    <w:rsid w:val="117F3A6F"/>
    <w:rsid w:val="1227466C"/>
    <w:rsid w:val="12396D25"/>
    <w:rsid w:val="12A2740E"/>
    <w:rsid w:val="12CA77DB"/>
    <w:rsid w:val="132E001C"/>
    <w:rsid w:val="136670D9"/>
    <w:rsid w:val="138E4B75"/>
    <w:rsid w:val="13A413C6"/>
    <w:rsid w:val="13B87826"/>
    <w:rsid w:val="13F6730B"/>
    <w:rsid w:val="13F73665"/>
    <w:rsid w:val="142736F4"/>
    <w:rsid w:val="1438616E"/>
    <w:rsid w:val="149B4CAE"/>
    <w:rsid w:val="152B659F"/>
    <w:rsid w:val="152D1E71"/>
    <w:rsid w:val="154A2E04"/>
    <w:rsid w:val="1556795E"/>
    <w:rsid w:val="156F3C7A"/>
    <w:rsid w:val="15D33B29"/>
    <w:rsid w:val="16176C79"/>
    <w:rsid w:val="16377437"/>
    <w:rsid w:val="16690D7D"/>
    <w:rsid w:val="169D77A1"/>
    <w:rsid w:val="16B232EC"/>
    <w:rsid w:val="16D8401C"/>
    <w:rsid w:val="17124B74"/>
    <w:rsid w:val="17147D52"/>
    <w:rsid w:val="17556907"/>
    <w:rsid w:val="17837DC1"/>
    <w:rsid w:val="179B652C"/>
    <w:rsid w:val="17C83533"/>
    <w:rsid w:val="17D07E4D"/>
    <w:rsid w:val="17E968C8"/>
    <w:rsid w:val="181979CD"/>
    <w:rsid w:val="183A70B7"/>
    <w:rsid w:val="18561EA1"/>
    <w:rsid w:val="18655550"/>
    <w:rsid w:val="188A342B"/>
    <w:rsid w:val="19110F62"/>
    <w:rsid w:val="1913003A"/>
    <w:rsid w:val="1916421B"/>
    <w:rsid w:val="196B27B3"/>
    <w:rsid w:val="198B4AD4"/>
    <w:rsid w:val="19A06096"/>
    <w:rsid w:val="19C8454D"/>
    <w:rsid w:val="19D41933"/>
    <w:rsid w:val="19DB0D47"/>
    <w:rsid w:val="19F426B1"/>
    <w:rsid w:val="19F920EB"/>
    <w:rsid w:val="1A6950F5"/>
    <w:rsid w:val="1A9D4261"/>
    <w:rsid w:val="1AD020E6"/>
    <w:rsid w:val="1B56444D"/>
    <w:rsid w:val="1B8B3871"/>
    <w:rsid w:val="1C0935DD"/>
    <w:rsid w:val="1C166B8D"/>
    <w:rsid w:val="1C22795E"/>
    <w:rsid w:val="1C250A03"/>
    <w:rsid w:val="1C2E7DA7"/>
    <w:rsid w:val="1C4457A6"/>
    <w:rsid w:val="1C5D6EB2"/>
    <w:rsid w:val="1CB00F72"/>
    <w:rsid w:val="1CC009DD"/>
    <w:rsid w:val="1CC85E94"/>
    <w:rsid w:val="1CD80FFB"/>
    <w:rsid w:val="1D196FE5"/>
    <w:rsid w:val="1D2043E3"/>
    <w:rsid w:val="1DA41F29"/>
    <w:rsid w:val="1DBF54C1"/>
    <w:rsid w:val="1DC15579"/>
    <w:rsid w:val="1DE8069B"/>
    <w:rsid w:val="1E017C8F"/>
    <w:rsid w:val="1E2779C5"/>
    <w:rsid w:val="1E2A6E62"/>
    <w:rsid w:val="1E2C55E9"/>
    <w:rsid w:val="1E773F3A"/>
    <w:rsid w:val="1E9B5BEF"/>
    <w:rsid w:val="1EBE4292"/>
    <w:rsid w:val="1EF219D4"/>
    <w:rsid w:val="1F123848"/>
    <w:rsid w:val="1F3F79DF"/>
    <w:rsid w:val="1F47487D"/>
    <w:rsid w:val="1F4D269A"/>
    <w:rsid w:val="1F544EDE"/>
    <w:rsid w:val="1F676D58"/>
    <w:rsid w:val="1F7666C9"/>
    <w:rsid w:val="1F775B07"/>
    <w:rsid w:val="1FAC28B6"/>
    <w:rsid w:val="1FD85D7A"/>
    <w:rsid w:val="20505813"/>
    <w:rsid w:val="20D27F52"/>
    <w:rsid w:val="215922E0"/>
    <w:rsid w:val="215F4DBE"/>
    <w:rsid w:val="216511B3"/>
    <w:rsid w:val="21703A0C"/>
    <w:rsid w:val="21BC6FB1"/>
    <w:rsid w:val="21FA4A82"/>
    <w:rsid w:val="22011D50"/>
    <w:rsid w:val="2202644D"/>
    <w:rsid w:val="221B49A9"/>
    <w:rsid w:val="2268148E"/>
    <w:rsid w:val="226E6B9E"/>
    <w:rsid w:val="22704615"/>
    <w:rsid w:val="22810BBD"/>
    <w:rsid w:val="22D43E67"/>
    <w:rsid w:val="22D449BA"/>
    <w:rsid w:val="22F20894"/>
    <w:rsid w:val="232B24FF"/>
    <w:rsid w:val="234C39FB"/>
    <w:rsid w:val="235D61D2"/>
    <w:rsid w:val="23AC521F"/>
    <w:rsid w:val="23CD5CD5"/>
    <w:rsid w:val="24212E87"/>
    <w:rsid w:val="24350ACC"/>
    <w:rsid w:val="249647E0"/>
    <w:rsid w:val="24B7225D"/>
    <w:rsid w:val="24DE4732"/>
    <w:rsid w:val="24EC5768"/>
    <w:rsid w:val="24F55376"/>
    <w:rsid w:val="25357BA7"/>
    <w:rsid w:val="25541479"/>
    <w:rsid w:val="25D94AED"/>
    <w:rsid w:val="25ED7625"/>
    <w:rsid w:val="261B2B24"/>
    <w:rsid w:val="26283066"/>
    <w:rsid w:val="265A3939"/>
    <w:rsid w:val="269C409F"/>
    <w:rsid w:val="27044519"/>
    <w:rsid w:val="27A5688E"/>
    <w:rsid w:val="27AE4DD7"/>
    <w:rsid w:val="27F97875"/>
    <w:rsid w:val="2808602B"/>
    <w:rsid w:val="284535D0"/>
    <w:rsid w:val="28955575"/>
    <w:rsid w:val="28AB4DD1"/>
    <w:rsid w:val="29042A40"/>
    <w:rsid w:val="2942031C"/>
    <w:rsid w:val="296B7579"/>
    <w:rsid w:val="297421E3"/>
    <w:rsid w:val="29E67D00"/>
    <w:rsid w:val="2A0A0005"/>
    <w:rsid w:val="2A1969B4"/>
    <w:rsid w:val="2A25671C"/>
    <w:rsid w:val="2A3F3A10"/>
    <w:rsid w:val="2A5D0D4A"/>
    <w:rsid w:val="2A8D5103"/>
    <w:rsid w:val="2AC547A7"/>
    <w:rsid w:val="2B6974C9"/>
    <w:rsid w:val="2B746371"/>
    <w:rsid w:val="2B8B5C3E"/>
    <w:rsid w:val="2B91362E"/>
    <w:rsid w:val="2B9B3FFB"/>
    <w:rsid w:val="2BAC4CE7"/>
    <w:rsid w:val="2C0A6129"/>
    <w:rsid w:val="2C692FBC"/>
    <w:rsid w:val="2C8F3E6D"/>
    <w:rsid w:val="2C9653E8"/>
    <w:rsid w:val="2C9C1CAA"/>
    <w:rsid w:val="2CB73C05"/>
    <w:rsid w:val="2CF5291A"/>
    <w:rsid w:val="2CF571C2"/>
    <w:rsid w:val="2D6D3960"/>
    <w:rsid w:val="2D6F2319"/>
    <w:rsid w:val="2D7E1D49"/>
    <w:rsid w:val="2E6703A2"/>
    <w:rsid w:val="2E990EF3"/>
    <w:rsid w:val="2EED2BF9"/>
    <w:rsid w:val="2EFF5D80"/>
    <w:rsid w:val="2F0253FF"/>
    <w:rsid w:val="2F041945"/>
    <w:rsid w:val="2F17752C"/>
    <w:rsid w:val="2FA94A27"/>
    <w:rsid w:val="2FBF5F27"/>
    <w:rsid w:val="2FEB2EAF"/>
    <w:rsid w:val="2FFB7722"/>
    <w:rsid w:val="3035346A"/>
    <w:rsid w:val="30BB155D"/>
    <w:rsid w:val="30CA0884"/>
    <w:rsid w:val="30F27437"/>
    <w:rsid w:val="30F9744D"/>
    <w:rsid w:val="30FA7EAF"/>
    <w:rsid w:val="312156B1"/>
    <w:rsid w:val="31304D68"/>
    <w:rsid w:val="317D1160"/>
    <w:rsid w:val="31DA4FF6"/>
    <w:rsid w:val="31E6658D"/>
    <w:rsid w:val="31E842BB"/>
    <w:rsid w:val="31F164B3"/>
    <w:rsid w:val="32006E53"/>
    <w:rsid w:val="3225101C"/>
    <w:rsid w:val="32373ECA"/>
    <w:rsid w:val="32395400"/>
    <w:rsid w:val="326C0912"/>
    <w:rsid w:val="32C42E8C"/>
    <w:rsid w:val="32D32584"/>
    <w:rsid w:val="32E354E1"/>
    <w:rsid w:val="32E848AD"/>
    <w:rsid w:val="32EC1BC7"/>
    <w:rsid w:val="3307102F"/>
    <w:rsid w:val="330F43A4"/>
    <w:rsid w:val="332D0FA3"/>
    <w:rsid w:val="3332215E"/>
    <w:rsid w:val="33376250"/>
    <w:rsid w:val="334F51C8"/>
    <w:rsid w:val="338E0148"/>
    <w:rsid w:val="33D26788"/>
    <w:rsid w:val="33F1262E"/>
    <w:rsid w:val="34166468"/>
    <w:rsid w:val="3486245A"/>
    <w:rsid w:val="349B64D7"/>
    <w:rsid w:val="34C0678D"/>
    <w:rsid w:val="34F06FBE"/>
    <w:rsid w:val="35783795"/>
    <w:rsid w:val="358A55C8"/>
    <w:rsid w:val="3595141F"/>
    <w:rsid w:val="35955B45"/>
    <w:rsid w:val="35981277"/>
    <w:rsid w:val="35B26126"/>
    <w:rsid w:val="35CF30FB"/>
    <w:rsid w:val="35E468F9"/>
    <w:rsid w:val="362414BB"/>
    <w:rsid w:val="363B5F8F"/>
    <w:rsid w:val="36674933"/>
    <w:rsid w:val="36B804E5"/>
    <w:rsid w:val="36C35D71"/>
    <w:rsid w:val="37223C3B"/>
    <w:rsid w:val="3787325E"/>
    <w:rsid w:val="381C153F"/>
    <w:rsid w:val="382C1263"/>
    <w:rsid w:val="38576F24"/>
    <w:rsid w:val="38982C8B"/>
    <w:rsid w:val="38B42A5C"/>
    <w:rsid w:val="38BC140B"/>
    <w:rsid w:val="38C4517C"/>
    <w:rsid w:val="38C67602"/>
    <w:rsid w:val="38E80919"/>
    <w:rsid w:val="39061DDA"/>
    <w:rsid w:val="391A3399"/>
    <w:rsid w:val="393F3FE8"/>
    <w:rsid w:val="39620E33"/>
    <w:rsid w:val="39651CC4"/>
    <w:rsid w:val="39757EDB"/>
    <w:rsid w:val="39914725"/>
    <w:rsid w:val="39B40598"/>
    <w:rsid w:val="39EE1FB1"/>
    <w:rsid w:val="3A02097B"/>
    <w:rsid w:val="3A1158B0"/>
    <w:rsid w:val="3A15556D"/>
    <w:rsid w:val="3A193C35"/>
    <w:rsid w:val="3A3C21BB"/>
    <w:rsid w:val="3A431B27"/>
    <w:rsid w:val="3A760538"/>
    <w:rsid w:val="3AE04009"/>
    <w:rsid w:val="3AE51BA5"/>
    <w:rsid w:val="3B3572ED"/>
    <w:rsid w:val="3BAC0F20"/>
    <w:rsid w:val="3BF7684C"/>
    <w:rsid w:val="3BFA323A"/>
    <w:rsid w:val="3C186B54"/>
    <w:rsid w:val="3C6C3E63"/>
    <w:rsid w:val="3D0A40DD"/>
    <w:rsid w:val="3D334364"/>
    <w:rsid w:val="3D6F55B5"/>
    <w:rsid w:val="3DB352E1"/>
    <w:rsid w:val="3DEB5BB3"/>
    <w:rsid w:val="3E023638"/>
    <w:rsid w:val="3E4F2CD8"/>
    <w:rsid w:val="3EB01C56"/>
    <w:rsid w:val="3ECE69FF"/>
    <w:rsid w:val="3EDF12AB"/>
    <w:rsid w:val="3EE0624C"/>
    <w:rsid w:val="3F0442A0"/>
    <w:rsid w:val="3F277B9D"/>
    <w:rsid w:val="3F9338C1"/>
    <w:rsid w:val="40040F14"/>
    <w:rsid w:val="400871CB"/>
    <w:rsid w:val="4010416D"/>
    <w:rsid w:val="407E2AC0"/>
    <w:rsid w:val="409C27B7"/>
    <w:rsid w:val="40C324ED"/>
    <w:rsid w:val="40C34F63"/>
    <w:rsid w:val="41040896"/>
    <w:rsid w:val="41041320"/>
    <w:rsid w:val="41216EF9"/>
    <w:rsid w:val="41457E6D"/>
    <w:rsid w:val="41E142F7"/>
    <w:rsid w:val="42C07977"/>
    <w:rsid w:val="43061879"/>
    <w:rsid w:val="4330143E"/>
    <w:rsid w:val="436721A6"/>
    <w:rsid w:val="4389104B"/>
    <w:rsid w:val="43A37EED"/>
    <w:rsid w:val="43B96017"/>
    <w:rsid w:val="44194453"/>
    <w:rsid w:val="44C70D28"/>
    <w:rsid w:val="450823E4"/>
    <w:rsid w:val="45187008"/>
    <w:rsid w:val="45501B3C"/>
    <w:rsid w:val="45687831"/>
    <w:rsid w:val="45827EE2"/>
    <w:rsid w:val="45E26FB9"/>
    <w:rsid w:val="45F45C35"/>
    <w:rsid w:val="463A31CA"/>
    <w:rsid w:val="465D6C63"/>
    <w:rsid w:val="467E7FFF"/>
    <w:rsid w:val="46DD70A1"/>
    <w:rsid w:val="46FE0765"/>
    <w:rsid w:val="47011B78"/>
    <w:rsid w:val="47364C07"/>
    <w:rsid w:val="47510C84"/>
    <w:rsid w:val="476B4AB5"/>
    <w:rsid w:val="47766AAF"/>
    <w:rsid w:val="47A84A25"/>
    <w:rsid w:val="47C86B37"/>
    <w:rsid w:val="47DB18AB"/>
    <w:rsid w:val="481C7B5D"/>
    <w:rsid w:val="48516A02"/>
    <w:rsid w:val="486855B6"/>
    <w:rsid w:val="48A92D1D"/>
    <w:rsid w:val="48FB29D2"/>
    <w:rsid w:val="492F274E"/>
    <w:rsid w:val="4984644C"/>
    <w:rsid w:val="49A75F0A"/>
    <w:rsid w:val="49B00CD8"/>
    <w:rsid w:val="49C30FF2"/>
    <w:rsid w:val="49CF6ECB"/>
    <w:rsid w:val="49F31765"/>
    <w:rsid w:val="49F522A9"/>
    <w:rsid w:val="4A000D5E"/>
    <w:rsid w:val="4A2C1848"/>
    <w:rsid w:val="4AF87B29"/>
    <w:rsid w:val="4B5B0AA8"/>
    <w:rsid w:val="4BE609FF"/>
    <w:rsid w:val="4BF313ED"/>
    <w:rsid w:val="4C172E91"/>
    <w:rsid w:val="4C33473B"/>
    <w:rsid w:val="4C54096A"/>
    <w:rsid w:val="4C633126"/>
    <w:rsid w:val="4C7B7FF1"/>
    <w:rsid w:val="4CBA430B"/>
    <w:rsid w:val="4CBB6ED5"/>
    <w:rsid w:val="4CBF4721"/>
    <w:rsid w:val="4CCF6D33"/>
    <w:rsid w:val="4D185DEE"/>
    <w:rsid w:val="4D237E2B"/>
    <w:rsid w:val="4D3D4772"/>
    <w:rsid w:val="4D861D4D"/>
    <w:rsid w:val="4DC045EB"/>
    <w:rsid w:val="4DD83BB3"/>
    <w:rsid w:val="4E2D4C8D"/>
    <w:rsid w:val="4E491C86"/>
    <w:rsid w:val="4E630425"/>
    <w:rsid w:val="4EC517C4"/>
    <w:rsid w:val="4F430D2E"/>
    <w:rsid w:val="4F4E224D"/>
    <w:rsid w:val="4FB649D2"/>
    <w:rsid w:val="4FC15A7D"/>
    <w:rsid w:val="4FF2760B"/>
    <w:rsid w:val="50A62D51"/>
    <w:rsid w:val="50B62230"/>
    <w:rsid w:val="512C1912"/>
    <w:rsid w:val="517471B9"/>
    <w:rsid w:val="51A91566"/>
    <w:rsid w:val="51DB1FD0"/>
    <w:rsid w:val="521B2FB3"/>
    <w:rsid w:val="5226184D"/>
    <w:rsid w:val="52743CFD"/>
    <w:rsid w:val="52B2547F"/>
    <w:rsid w:val="52B861CD"/>
    <w:rsid w:val="52DF0D99"/>
    <w:rsid w:val="52F40293"/>
    <w:rsid w:val="52FE0117"/>
    <w:rsid w:val="5337479C"/>
    <w:rsid w:val="533D315A"/>
    <w:rsid w:val="534E490D"/>
    <w:rsid w:val="534E7F7E"/>
    <w:rsid w:val="538308A1"/>
    <w:rsid w:val="542417C5"/>
    <w:rsid w:val="54C17872"/>
    <w:rsid w:val="54EB4F4E"/>
    <w:rsid w:val="54F72A1D"/>
    <w:rsid w:val="550F644C"/>
    <w:rsid w:val="552C60B9"/>
    <w:rsid w:val="55780EE2"/>
    <w:rsid w:val="5584364E"/>
    <w:rsid w:val="558B06A7"/>
    <w:rsid w:val="55A51FF5"/>
    <w:rsid w:val="55D009AE"/>
    <w:rsid w:val="55D273EA"/>
    <w:rsid w:val="55DC4657"/>
    <w:rsid w:val="55E673A4"/>
    <w:rsid w:val="55FD6DED"/>
    <w:rsid w:val="56510AF0"/>
    <w:rsid w:val="56614914"/>
    <w:rsid w:val="5678577E"/>
    <w:rsid w:val="56823595"/>
    <w:rsid w:val="56844EA6"/>
    <w:rsid w:val="568933BB"/>
    <w:rsid w:val="56D159EF"/>
    <w:rsid w:val="56D8358C"/>
    <w:rsid w:val="56DC484E"/>
    <w:rsid w:val="56DE4C48"/>
    <w:rsid w:val="571E36BB"/>
    <w:rsid w:val="57280645"/>
    <w:rsid w:val="576438A3"/>
    <w:rsid w:val="57922F1A"/>
    <w:rsid w:val="57A936EA"/>
    <w:rsid w:val="57B771E4"/>
    <w:rsid w:val="57BA1278"/>
    <w:rsid w:val="581C2E9B"/>
    <w:rsid w:val="584F07E7"/>
    <w:rsid w:val="585C0AD6"/>
    <w:rsid w:val="58EA7C40"/>
    <w:rsid w:val="58FE6640"/>
    <w:rsid w:val="592F05CE"/>
    <w:rsid w:val="5AB7404F"/>
    <w:rsid w:val="5AEB678E"/>
    <w:rsid w:val="5B3009D6"/>
    <w:rsid w:val="5BB44C84"/>
    <w:rsid w:val="5BCB4008"/>
    <w:rsid w:val="5C0D6153"/>
    <w:rsid w:val="5C1E417C"/>
    <w:rsid w:val="5C370BE4"/>
    <w:rsid w:val="5C4A7BA4"/>
    <w:rsid w:val="5D261739"/>
    <w:rsid w:val="5D26217E"/>
    <w:rsid w:val="5D727F94"/>
    <w:rsid w:val="5DE45ACA"/>
    <w:rsid w:val="5DEA3B78"/>
    <w:rsid w:val="5E06234C"/>
    <w:rsid w:val="5E6A346B"/>
    <w:rsid w:val="5E705874"/>
    <w:rsid w:val="5EBE3D70"/>
    <w:rsid w:val="5F580CD1"/>
    <w:rsid w:val="5F963ABE"/>
    <w:rsid w:val="5FC034CF"/>
    <w:rsid w:val="5FE96A44"/>
    <w:rsid w:val="600D5B66"/>
    <w:rsid w:val="60320B82"/>
    <w:rsid w:val="603602A1"/>
    <w:rsid w:val="60726BA6"/>
    <w:rsid w:val="60AD02A3"/>
    <w:rsid w:val="610D6E02"/>
    <w:rsid w:val="61887C70"/>
    <w:rsid w:val="619D7DB0"/>
    <w:rsid w:val="61C64F1F"/>
    <w:rsid w:val="61EC422D"/>
    <w:rsid w:val="620543D8"/>
    <w:rsid w:val="6226588C"/>
    <w:rsid w:val="624B4517"/>
    <w:rsid w:val="624F05BF"/>
    <w:rsid w:val="62641E82"/>
    <w:rsid w:val="62643FAE"/>
    <w:rsid w:val="629E75C5"/>
    <w:rsid w:val="62B152F6"/>
    <w:rsid w:val="62FC0A4F"/>
    <w:rsid w:val="639807FB"/>
    <w:rsid w:val="63CA537C"/>
    <w:rsid w:val="646F28D2"/>
    <w:rsid w:val="649A4316"/>
    <w:rsid w:val="64AE391E"/>
    <w:rsid w:val="64C4266A"/>
    <w:rsid w:val="654E0283"/>
    <w:rsid w:val="6591511C"/>
    <w:rsid w:val="65CB71DA"/>
    <w:rsid w:val="660D6090"/>
    <w:rsid w:val="660E0020"/>
    <w:rsid w:val="661D3379"/>
    <w:rsid w:val="666B3984"/>
    <w:rsid w:val="667C76AA"/>
    <w:rsid w:val="66EC5141"/>
    <w:rsid w:val="66F76004"/>
    <w:rsid w:val="67420914"/>
    <w:rsid w:val="67946072"/>
    <w:rsid w:val="67C023A9"/>
    <w:rsid w:val="68054FBB"/>
    <w:rsid w:val="681701AB"/>
    <w:rsid w:val="686A680D"/>
    <w:rsid w:val="6894084C"/>
    <w:rsid w:val="68F3057B"/>
    <w:rsid w:val="69056228"/>
    <w:rsid w:val="69525142"/>
    <w:rsid w:val="69616F46"/>
    <w:rsid w:val="69797C2C"/>
    <w:rsid w:val="69C66EF3"/>
    <w:rsid w:val="69E1771F"/>
    <w:rsid w:val="69F579D6"/>
    <w:rsid w:val="6A451204"/>
    <w:rsid w:val="6AA7412F"/>
    <w:rsid w:val="6AC42F47"/>
    <w:rsid w:val="6AE126E5"/>
    <w:rsid w:val="6AF87945"/>
    <w:rsid w:val="6AFB778E"/>
    <w:rsid w:val="6B0910B5"/>
    <w:rsid w:val="6B120554"/>
    <w:rsid w:val="6B541BA7"/>
    <w:rsid w:val="6B64330A"/>
    <w:rsid w:val="6B661E7F"/>
    <w:rsid w:val="6B824A39"/>
    <w:rsid w:val="6BC01076"/>
    <w:rsid w:val="6C23249C"/>
    <w:rsid w:val="6C390ED5"/>
    <w:rsid w:val="6C3C69C3"/>
    <w:rsid w:val="6C732720"/>
    <w:rsid w:val="6C932DC7"/>
    <w:rsid w:val="6CA02A97"/>
    <w:rsid w:val="6CA36F9A"/>
    <w:rsid w:val="6CDC171B"/>
    <w:rsid w:val="6D146510"/>
    <w:rsid w:val="6D824D40"/>
    <w:rsid w:val="6D8A6739"/>
    <w:rsid w:val="6D907B7A"/>
    <w:rsid w:val="6DB80F6D"/>
    <w:rsid w:val="6DBB666F"/>
    <w:rsid w:val="6DC83B7C"/>
    <w:rsid w:val="6DCC747B"/>
    <w:rsid w:val="6DDD5B03"/>
    <w:rsid w:val="6E054EF2"/>
    <w:rsid w:val="6E122A86"/>
    <w:rsid w:val="6E1D0CC7"/>
    <w:rsid w:val="6E2D0FC5"/>
    <w:rsid w:val="6E621ACB"/>
    <w:rsid w:val="6EF50736"/>
    <w:rsid w:val="6F3E1AFB"/>
    <w:rsid w:val="6F7B4B8E"/>
    <w:rsid w:val="6FC133DE"/>
    <w:rsid w:val="70440879"/>
    <w:rsid w:val="70571482"/>
    <w:rsid w:val="707A6592"/>
    <w:rsid w:val="708C7A83"/>
    <w:rsid w:val="70BB4D11"/>
    <w:rsid w:val="70D020D0"/>
    <w:rsid w:val="71003859"/>
    <w:rsid w:val="71141EBF"/>
    <w:rsid w:val="71187867"/>
    <w:rsid w:val="71481C7E"/>
    <w:rsid w:val="71683411"/>
    <w:rsid w:val="7171359E"/>
    <w:rsid w:val="71C94191"/>
    <w:rsid w:val="71E22178"/>
    <w:rsid w:val="72234788"/>
    <w:rsid w:val="72667ADA"/>
    <w:rsid w:val="72692FC3"/>
    <w:rsid w:val="730205A7"/>
    <w:rsid w:val="730237A7"/>
    <w:rsid w:val="731F20C0"/>
    <w:rsid w:val="73A166E0"/>
    <w:rsid w:val="73DD2A16"/>
    <w:rsid w:val="73E40B6D"/>
    <w:rsid w:val="740C3F29"/>
    <w:rsid w:val="7422318A"/>
    <w:rsid w:val="744F54DD"/>
    <w:rsid w:val="746123F6"/>
    <w:rsid w:val="74622863"/>
    <w:rsid w:val="74D54225"/>
    <w:rsid w:val="74E67BC9"/>
    <w:rsid w:val="74F50C5D"/>
    <w:rsid w:val="751B28A4"/>
    <w:rsid w:val="75B33FA1"/>
    <w:rsid w:val="75C2581E"/>
    <w:rsid w:val="75D16F8D"/>
    <w:rsid w:val="75D927C3"/>
    <w:rsid w:val="76693E11"/>
    <w:rsid w:val="769C542F"/>
    <w:rsid w:val="76A63C9A"/>
    <w:rsid w:val="76B850D0"/>
    <w:rsid w:val="76C2005D"/>
    <w:rsid w:val="76E13895"/>
    <w:rsid w:val="76ED19BC"/>
    <w:rsid w:val="771B6B12"/>
    <w:rsid w:val="77217443"/>
    <w:rsid w:val="774A1C4F"/>
    <w:rsid w:val="77777585"/>
    <w:rsid w:val="779D3238"/>
    <w:rsid w:val="78360CAF"/>
    <w:rsid w:val="784B39D2"/>
    <w:rsid w:val="789E748B"/>
    <w:rsid w:val="78B37DA8"/>
    <w:rsid w:val="78D21946"/>
    <w:rsid w:val="79117F47"/>
    <w:rsid w:val="79266D84"/>
    <w:rsid w:val="7960469A"/>
    <w:rsid w:val="79650CEE"/>
    <w:rsid w:val="796D1811"/>
    <w:rsid w:val="79AB5812"/>
    <w:rsid w:val="79C3396D"/>
    <w:rsid w:val="79F128CB"/>
    <w:rsid w:val="79FB3742"/>
    <w:rsid w:val="7A7F5633"/>
    <w:rsid w:val="7ACA324F"/>
    <w:rsid w:val="7B136664"/>
    <w:rsid w:val="7B5F44D0"/>
    <w:rsid w:val="7B736702"/>
    <w:rsid w:val="7B935A91"/>
    <w:rsid w:val="7BC13BE8"/>
    <w:rsid w:val="7BC63265"/>
    <w:rsid w:val="7BDD154C"/>
    <w:rsid w:val="7C424242"/>
    <w:rsid w:val="7CD34D65"/>
    <w:rsid w:val="7D70343C"/>
    <w:rsid w:val="7DD548A2"/>
    <w:rsid w:val="7DE40569"/>
    <w:rsid w:val="7DEC1BDD"/>
    <w:rsid w:val="7E145520"/>
    <w:rsid w:val="7E381BDB"/>
    <w:rsid w:val="7E783945"/>
    <w:rsid w:val="7E8545E6"/>
    <w:rsid w:val="7ED0392C"/>
    <w:rsid w:val="7F185CBE"/>
    <w:rsid w:val="7F4C43F5"/>
    <w:rsid w:val="7F7E15ED"/>
    <w:rsid w:val="7F941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782DF9-341D-4271-95E0-3896103C2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iPriority="5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pacing w:line="300" w:lineRule="auto"/>
    </w:pPr>
    <w:rPr>
      <w:rFonts w:eastAsiaTheme="minorEastAsia"/>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heme="minorEastAsia" w:hAnsi="Arial"/>
      <w:sz w:val="36"/>
      <w:lang w:val="en-GB" w:eastAsia="en-US"/>
    </w:rPr>
  </w:style>
  <w:style w:type="paragraph" w:styleId="Heading2">
    <w:name w:val="heading 2"/>
    <w:basedOn w:val="Heading1"/>
    <w:next w:val="Normal"/>
    <w:link w:val="Heading2Char"/>
    <w:uiPriority w:val="9"/>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楷体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宋体"/>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宋体"/>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宋体"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after="160" w:line="259" w:lineRule="auto"/>
      <w:ind w:left="1418" w:hanging="1418"/>
    </w:pPr>
    <w:rPr>
      <w:rFonts w:ascii="Calibri" w:eastAsia="Calibri" w:hAnsi="Calibri"/>
      <w:b/>
      <w:sz w:val="22"/>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宋体"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宋体"/>
      <w:sz w:val="18"/>
      <w:szCs w:val="18"/>
    </w:rPr>
  </w:style>
  <w:style w:type="character" w:customStyle="1" w:styleId="CommentTextChar">
    <w:name w:val="Comment Text Char"/>
    <w:basedOn w:val="DefaultParagraphFont"/>
    <w:link w:val="CommentText"/>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rPr>
  </w:style>
  <w:style w:type="paragraph" w:customStyle="1" w:styleId="CRCoverPage">
    <w:name w:val="CR Cover Page"/>
    <w:next w:val="Normal"/>
    <w:qFormat/>
    <w:pPr>
      <w:spacing w:after="120"/>
    </w:pPr>
    <w:rPr>
      <w:rFonts w:ascii="Arial" w:eastAsia="MS Mincho" w:hAnsi="Arial"/>
      <w:lang w:val="en-GB"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 w:val="22"/>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val="en-GB"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宋体"/>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sz w:val="2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pPr>
      <w:spacing w:after="120"/>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
    <w:name w:val="Unresolved Mention"/>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宋体"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 w:val="2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宋体"/>
      <w:sz w:val="22"/>
      <w:szCs w:val="20"/>
      <w:lang w:val="en-GB" w:eastAsia="en-US"/>
    </w:rPr>
  </w:style>
  <w:style w:type="character" w:customStyle="1" w:styleId="ParagraphChar">
    <w:name w:val="Paragraph Char"/>
    <w:link w:val="Paragraph"/>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a0">
    <w:name w:val="表格文字居左"/>
    <w:basedOn w:val="Normal"/>
    <w:next w:val="Normal"/>
    <w:qFormat/>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Normal"/>
    <w:next w:val="Normal"/>
    <w:link w:val="z-Char"/>
    <w:uiPriority w:val="99"/>
    <w:unhideWhenUsed/>
    <w:qFormat/>
    <w:pPr>
      <w:pBdr>
        <w:bottom w:val="single" w:sz="6" w:space="1" w:color="auto"/>
      </w:pBdr>
      <w:adjustRightInd/>
      <w:spacing w:line="240" w:lineRule="auto"/>
      <w:jc w:val="center"/>
    </w:pPr>
    <w:rPr>
      <w:rFonts w:ascii="Arial" w:eastAsia="宋体" w:hAnsi="Arial"/>
      <w:vanish/>
      <w:sz w:val="16"/>
      <w:szCs w:val="16"/>
    </w:rPr>
  </w:style>
  <w:style w:type="character" w:customStyle="1" w:styleId="z-Char">
    <w:name w:val="z-窗体顶端 Char"/>
    <w:basedOn w:val="DefaultParagraphFont"/>
    <w:link w:val="z-TopofForm1"/>
    <w:uiPriority w:val="99"/>
    <w:qFormat/>
    <w:rPr>
      <w:rFonts w:ascii="Arial" w:eastAsia="宋体" w:hAnsi="Arial"/>
      <w:vanish/>
      <w:sz w:val="16"/>
      <w:szCs w:val="16"/>
    </w:rPr>
  </w:style>
  <w:style w:type="character" w:customStyle="1" w:styleId="hps">
    <w:name w:val="hps"/>
    <w:qFormat/>
  </w:style>
  <w:style w:type="paragraph" w:customStyle="1" w:styleId="z-BottomofForm1">
    <w:name w:val="z-Bottom of Form1"/>
    <w:basedOn w:val="Normal"/>
    <w:next w:val="Normal"/>
    <w:link w:val="z-Char0"/>
    <w:uiPriority w:val="99"/>
    <w:unhideWhenUsed/>
    <w:qFormat/>
    <w:pPr>
      <w:pBdr>
        <w:top w:val="single" w:sz="6" w:space="1" w:color="auto"/>
      </w:pBdr>
      <w:adjustRightInd/>
      <w:spacing w:line="240" w:lineRule="auto"/>
      <w:jc w:val="center"/>
    </w:pPr>
    <w:rPr>
      <w:rFonts w:ascii="Arial" w:eastAsia="宋体" w:hAnsi="Arial"/>
      <w:vanish/>
      <w:sz w:val="16"/>
      <w:szCs w:val="16"/>
    </w:rPr>
  </w:style>
  <w:style w:type="character" w:customStyle="1" w:styleId="z-Char0">
    <w:name w:val="z-窗体底端 Char"/>
    <w:basedOn w:val="DefaultParagraphFont"/>
    <w:link w:val="z-BottomofForm1"/>
    <w:uiPriority w:val="99"/>
    <w:qFormat/>
    <w:rPr>
      <w:rFonts w:ascii="Arial" w:eastAsia="宋体"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宋体"/>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宋体"/>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宋体" w:hAnsi="Cambria"/>
      <w:b/>
      <w:i/>
      <w:iCs/>
      <w:color w:val="4F81BD"/>
      <w:spacing w:val="15"/>
      <w:szCs w:val="24"/>
    </w:rPr>
  </w:style>
  <w:style w:type="table" w:customStyle="1" w:styleId="TableGridLight1">
    <w:name w:val="Table Grid Light1"/>
    <w:basedOn w:val="TableNormal"/>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sz w:val="28"/>
      <w:lang w:eastAsia="de-DE"/>
    </w:rPr>
  </w:style>
  <w:style w:type="paragraph" w:customStyle="1" w:styleId="Bullets">
    <w:name w:val="Bullets"/>
    <w:basedOn w:val="BodyText"/>
    <w:qFormat/>
    <w:pPr>
      <w:widowControl w:val="0"/>
      <w:spacing w:after="0"/>
      <w:jc w:val="both"/>
    </w:pPr>
    <w:rPr>
      <w:rFonts w:eastAsia="宋体"/>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Pr>
      <w:rFonts w:ascii="Calibri" w:eastAsia="宋体" w:hAnsi="Calibri"/>
      <w:kern w:val="2"/>
      <w:sz w:val="21"/>
      <w:szCs w:val="22"/>
    </w:rPr>
  </w:style>
  <w:style w:type="paragraph" w:customStyle="1" w:styleId="00BodyText">
    <w:name w:val="00 BodyText"/>
    <w:basedOn w:val="Normal"/>
    <w:qFormat/>
    <w:pPr>
      <w:adjustRightInd/>
      <w:spacing w:after="220" w:line="240" w:lineRule="auto"/>
    </w:pPr>
    <w:rPr>
      <w:rFonts w:ascii="Arial" w:eastAsia="宋体" w:hAnsi="Arial"/>
      <w:sz w:val="22"/>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宋体" w:cs="宋体"/>
      <w:kern w:val="2"/>
      <w:sz w:val="21"/>
      <w:szCs w:val="20"/>
    </w:rPr>
  </w:style>
  <w:style w:type="character" w:customStyle="1" w:styleId="Char">
    <w:name w:val="样式 正文 Char"/>
    <w:link w:val="a1"/>
    <w:qFormat/>
    <w:rPr>
      <w:rFonts w:eastAsia="宋体" w:cs="宋体"/>
      <w:kern w:val="2"/>
      <w:sz w:val="21"/>
    </w:rPr>
  </w:style>
  <w:style w:type="paragraph" w:customStyle="1" w:styleId="a2">
    <w:name w:val="公式"/>
    <w:basedOn w:val="Normal"/>
    <w:qFormat/>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eastAsia="en-US"/>
    </w:rPr>
  </w:style>
  <w:style w:type="character" w:customStyle="1" w:styleId="TitleChar2">
    <w:name w:val="Title Char2"/>
    <w:uiPriority w:val="10"/>
    <w:qFormat/>
    <w:locked/>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Normal"/>
    <w:qFormat/>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宋体" w:hAnsi="Arial"/>
      <w:sz w:val="22"/>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宋体"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sz w:val="2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sz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宋体"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oleObject" Target="embeddings/oleObject6.bin"/><Relationship Id="rId34" Type="http://schemas.openxmlformats.org/officeDocument/2006/relationships/image" Target="media/image13.jpeg"/><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image" Target="media/image23.wmf"/><Relationship Id="rId55" Type="http://schemas.openxmlformats.org/officeDocument/2006/relationships/oleObject" Target="embeddings/oleObject22.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image" Target="media/image12.jpeg"/><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image" Target="media/image18.wmf"/><Relationship Id="rId54"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image" Target="media/image11.jpeg"/><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oleObject" Target="embeddings/oleObject21.bin"/><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9.wmf"/><Relationship Id="rId36" Type="http://schemas.openxmlformats.org/officeDocument/2006/relationships/image" Target="media/image15.wmf"/><Relationship Id="rId49" Type="http://schemas.openxmlformats.org/officeDocument/2006/relationships/image" Target="media/image22.png"/><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oleObject" Target="embeddings/oleObject17.bin"/><Relationship Id="rId52" Type="http://schemas.openxmlformats.org/officeDocument/2006/relationships/image" Target="media/image24.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image" Target="media/image10.wmf"/><Relationship Id="rId35" Type="http://schemas.openxmlformats.org/officeDocument/2006/relationships/image" Target="media/image14.jpeg"/><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F39623-CDEF-4DBB-9DBD-0EAAD319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2082</Words>
  <Characters>11870</Characters>
  <Application>Microsoft Office Word</Application>
  <DocSecurity>0</DocSecurity>
  <Lines>98</Lines>
  <Paragraphs>27</Paragraphs>
  <ScaleCrop>false</ScaleCrop>
  <Company>ZTE</Company>
  <LinksUpToDate>false</LinksUpToDate>
  <CharactersWithSpaces>13925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lastModifiedBy>ZTE</cp:lastModifiedBy>
  <cp:revision>77</cp:revision>
  <cp:lastPrinted>2018-09-28T06:47:00Z</cp:lastPrinted>
  <dcterms:created xsi:type="dcterms:W3CDTF">2019-03-13T08:04:00Z</dcterms:created>
  <dcterms:modified xsi:type="dcterms:W3CDTF">2019-03-29T14:18:00Z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